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C9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44"/>
          <w:szCs w:val="44"/>
        </w:rPr>
        <w:t>重庆市红十字会医院</w:t>
      </w:r>
    </w:p>
    <w:p w14:paraId="403106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44"/>
          <w:szCs w:val="44"/>
          <w:lang w:val="en-US" w:eastAsia="zh-CN"/>
        </w:rPr>
        <w:t>舆情监测技术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44"/>
          <w:szCs w:val="44"/>
        </w:rPr>
        <w:t>服务采购文件</w:t>
      </w:r>
    </w:p>
    <w:p w14:paraId="54D659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</w:pPr>
    </w:p>
    <w:p w14:paraId="3A3DB5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</w:rPr>
        <w:t>一、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遴选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</w:rPr>
        <w:t>采购内容</w:t>
      </w:r>
    </w:p>
    <w:tbl>
      <w:tblPr>
        <w:tblStyle w:val="11"/>
        <w:tblW w:w="9259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0"/>
        <w:gridCol w:w="2200"/>
        <w:gridCol w:w="1665"/>
        <w:gridCol w:w="1014"/>
      </w:tblGrid>
      <w:tr w14:paraId="496DE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4380" w:type="dxa"/>
            <w:vAlign w:val="top"/>
          </w:tcPr>
          <w:p w14:paraId="61E916F0">
            <w:pPr>
              <w:spacing w:before="319" w:line="220" w:lineRule="auto"/>
              <w:ind w:left="1544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4"/>
                <w:sz w:val="32"/>
                <w:szCs w:val="32"/>
              </w:rPr>
              <w:t>项目名称</w:t>
            </w:r>
          </w:p>
        </w:tc>
        <w:tc>
          <w:tcPr>
            <w:tcW w:w="2200" w:type="dxa"/>
            <w:vAlign w:val="center"/>
          </w:tcPr>
          <w:p w14:paraId="702A00F1">
            <w:pPr>
              <w:spacing w:before="56" w:line="503" w:lineRule="exact"/>
              <w:jc w:val="both"/>
              <w:rPr>
                <w:rFonts w:hint="default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  <w:lang w:val="en-US" w:eastAsia="zh-CN"/>
              </w:rPr>
              <w:t>采购预算（元）</w:t>
            </w:r>
          </w:p>
        </w:tc>
        <w:tc>
          <w:tcPr>
            <w:tcW w:w="1665" w:type="dxa"/>
            <w:vAlign w:val="top"/>
          </w:tcPr>
          <w:p w14:paraId="0484C471">
            <w:pPr>
              <w:spacing w:before="318" w:line="219" w:lineRule="auto"/>
              <w:ind w:left="306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3"/>
                <w:sz w:val="32"/>
                <w:szCs w:val="32"/>
              </w:rPr>
              <w:t>资金来源</w:t>
            </w:r>
          </w:p>
        </w:tc>
        <w:tc>
          <w:tcPr>
            <w:tcW w:w="1014" w:type="dxa"/>
            <w:vAlign w:val="top"/>
          </w:tcPr>
          <w:p w14:paraId="0C7FA27B">
            <w:pPr>
              <w:spacing w:before="320" w:line="221" w:lineRule="auto"/>
              <w:ind w:left="308"/>
              <w:rPr>
                <w:rFonts w:hint="eastAsia" w:ascii="方正楷体_GBK" w:hAnsi="方正楷体_GBK" w:eastAsia="方正楷体_GBK" w:cs="方正楷体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pacing w:val="8"/>
                <w:sz w:val="32"/>
                <w:szCs w:val="32"/>
              </w:rPr>
              <w:t>备注</w:t>
            </w:r>
          </w:p>
        </w:tc>
      </w:tr>
      <w:tr w14:paraId="0A68B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4380" w:type="dxa"/>
            <w:vAlign w:val="center"/>
          </w:tcPr>
          <w:p w14:paraId="77633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2"/>
                <w:sz w:val="32"/>
                <w:szCs w:val="32"/>
              </w:rPr>
              <w:t>重庆市红十字会医院</w:t>
            </w:r>
          </w:p>
          <w:p w14:paraId="3154AB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舆情监测技术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0"/>
                <w:w w:val="100"/>
                <w:position w:val="0"/>
                <w:sz w:val="32"/>
                <w:szCs w:val="32"/>
              </w:rPr>
              <w:t>服务</w:t>
            </w:r>
          </w:p>
        </w:tc>
        <w:tc>
          <w:tcPr>
            <w:tcW w:w="2200" w:type="dxa"/>
            <w:vAlign w:val="center"/>
          </w:tcPr>
          <w:p w14:paraId="637C4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pacing w:val="-2"/>
                <w:sz w:val="32"/>
                <w:szCs w:val="32"/>
                <w:lang w:val="en-US" w:eastAsia="zh-CN"/>
              </w:rPr>
              <w:t>35000</w:t>
            </w:r>
          </w:p>
        </w:tc>
        <w:tc>
          <w:tcPr>
            <w:tcW w:w="1665" w:type="dxa"/>
            <w:vAlign w:val="center"/>
          </w:tcPr>
          <w:p w14:paraId="794C79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18"/>
                <w:sz w:val="32"/>
                <w:szCs w:val="32"/>
              </w:rPr>
              <w:t>自筹</w:t>
            </w:r>
          </w:p>
        </w:tc>
        <w:tc>
          <w:tcPr>
            <w:tcW w:w="1014" w:type="dxa"/>
            <w:vAlign w:val="center"/>
          </w:tcPr>
          <w:p w14:paraId="22362C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</w:rPr>
            </w:pPr>
          </w:p>
        </w:tc>
      </w:tr>
    </w:tbl>
    <w:p w14:paraId="1769B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</w:rPr>
        <w:t>二、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供应商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</w:rPr>
        <w:t>资格</w:t>
      </w:r>
    </w:p>
    <w:p w14:paraId="7C39DA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（一）基本资格条件</w:t>
      </w:r>
    </w:p>
    <w:p w14:paraId="39AB0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具有独立承担民事责任的能力；</w:t>
      </w:r>
    </w:p>
    <w:p w14:paraId="3AA90D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具有良好的商业信誉和健全的财务会计制度；</w:t>
      </w:r>
    </w:p>
    <w:p w14:paraId="72C1D2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具有履行合同所必需的设备和专业技术能力；</w:t>
      </w:r>
    </w:p>
    <w:p w14:paraId="08020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有依法缴纳税收和社会保障资金的良好记录；</w:t>
      </w:r>
    </w:p>
    <w:p w14:paraId="509760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参加政府采购活动前三年内，在经营活动中没有重大违法记录；</w:t>
      </w:r>
    </w:p>
    <w:p w14:paraId="3BE7AC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法律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、行政法规规定的其他条件。</w:t>
      </w:r>
    </w:p>
    <w:p w14:paraId="5BB4C4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（二）特定资格条件</w:t>
      </w:r>
    </w:p>
    <w:p w14:paraId="4157C3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960" w:firstLineChars="300"/>
        <w:textAlignment w:val="baseline"/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无</w:t>
      </w:r>
    </w:p>
    <w:p w14:paraId="16B150F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position w:val="0"/>
          <w:sz w:val="32"/>
          <w:szCs w:val="32"/>
          <w:highlight w:val="none"/>
        </w:rPr>
        <w:t>采购服务内容</w:t>
      </w:r>
    </w:p>
    <w:p w14:paraId="24782627">
      <w:pPr>
        <w:rPr>
          <w:rFonts w:hint="default" w:eastAsia="宋体"/>
          <w:lang w:val="en-US" w:eastAsia="zh-CN"/>
        </w:rPr>
      </w:pPr>
    </w:p>
    <w:p w14:paraId="35D2C0CF">
      <w:pPr>
        <w:rPr>
          <w:rFonts w:hint="default" w:eastAsia="宋体"/>
          <w:lang w:val="en-US" w:eastAsia="zh-CN"/>
        </w:rPr>
      </w:pPr>
    </w:p>
    <w:p w14:paraId="0FB32109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（一）技术参数</w:t>
      </w:r>
    </w:p>
    <w:p w14:paraId="33AE77B5">
      <w:pPr>
        <w:rPr>
          <w:rFonts w:hint="eastAsia"/>
        </w:rPr>
      </w:pPr>
    </w:p>
    <w:tbl>
      <w:tblPr>
        <w:tblStyle w:val="7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232"/>
        <w:gridCol w:w="5455"/>
        <w:gridCol w:w="552"/>
        <w:gridCol w:w="661"/>
      </w:tblGrid>
      <w:tr w14:paraId="4ED3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27" w:type="dxa"/>
            <w:vAlign w:val="top"/>
          </w:tcPr>
          <w:p w14:paraId="393E288A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  <w:p w14:paraId="3F5BB450">
            <w:pPr>
              <w:bidi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序号</w:t>
            </w:r>
          </w:p>
        </w:tc>
        <w:tc>
          <w:tcPr>
            <w:tcW w:w="1232" w:type="dxa"/>
            <w:vAlign w:val="top"/>
          </w:tcPr>
          <w:p w14:paraId="1CF6FF0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服务项目名称</w:t>
            </w:r>
          </w:p>
        </w:tc>
        <w:tc>
          <w:tcPr>
            <w:tcW w:w="5455" w:type="dxa"/>
            <w:vAlign w:val="top"/>
          </w:tcPr>
          <w:p w14:paraId="3359ACEF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服务内容（技术要求）</w:t>
            </w:r>
          </w:p>
        </w:tc>
        <w:tc>
          <w:tcPr>
            <w:tcW w:w="552" w:type="dxa"/>
            <w:vAlign w:val="top"/>
          </w:tcPr>
          <w:p w14:paraId="48A96D54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661" w:type="dxa"/>
            <w:vAlign w:val="top"/>
          </w:tcPr>
          <w:p w14:paraId="5B147A28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14:paraId="321E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7" w:type="dxa"/>
            <w:vMerge w:val="restart"/>
            <w:vAlign w:val="center"/>
          </w:tcPr>
          <w:p w14:paraId="2E5D1DB8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232" w:type="dxa"/>
            <w:vAlign w:val="center"/>
          </w:tcPr>
          <w:p w14:paraId="0CAB69E7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舆情监测</w:t>
            </w:r>
          </w:p>
        </w:tc>
        <w:tc>
          <w:tcPr>
            <w:tcW w:w="5455" w:type="dxa"/>
            <w:vAlign w:val="top"/>
          </w:tcPr>
          <w:p w14:paraId="1D37260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1.全网监测: 系统监测范围可对</w:t>
            </w:r>
            <w:r>
              <w:rPr>
                <w:rFonts w:hint="eastAsia" w:eastAsia="宋体"/>
                <w:lang w:val="en-US" w:eastAsia="zh-CN"/>
              </w:rPr>
              <w:t>本地</w:t>
            </w:r>
            <w:r>
              <w:rPr>
                <w:rFonts w:hint="eastAsia"/>
              </w:rPr>
              <w:t>新闻、</w:t>
            </w:r>
            <w:r>
              <w:rPr>
                <w:rFonts w:hint="eastAsia" w:eastAsia="宋体"/>
                <w:lang w:val="en-US" w:eastAsia="zh-CN"/>
              </w:rPr>
              <w:t>新浪微</w:t>
            </w:r>
            <w:r>
              <w:rPr>
                <w:rFonts w:hint="eastAsia"/>
              </w:rPr>
              <w:t>博、微信、图片、新闻APP、视频等互联网信息进行7*24小时不间断监测。</w:t>
            </w:r>
          </w:p>
          <w:p w14:paraId="65EEA30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2.支持平台PC登录账号1套，提供手机客户端支持，手机客户端登陆账号</w:t>
            </w: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eastAsia"/>
              </w:rPr>
              <w:t>个</w:t>
            </w:r>
            <w:r>
              <w:rPr>
                <w:rFonts w:hint="eastAsia" w:eastAsia="宋体"/>
                <w:lang w:val="en-US" w:eastAsia="zh-CN"/>
              </w:rPr>
              <w:t>以上</w:t>
            </w:r>
            <w:r>
              <w:rPr>
                <w:rFonts w:hint="eastAsia"/>
              </w:rPr>
              <w:t>。</w:t>
            </w:r>
          </w:p>
          <w:p w14:paraId="55B710D3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  <w:r>
              <w:rPr>
                <w:rFonts w:hint="eastAsia"/>
              </w:rPr>
              <w:t>.小视频监测: 提供小视频原发内容及评论的</w:t>
            </w:r>
            <w:r>
              <w:rPr>
                <w:rFonts w:hint="eastAsia" w:eastAsia="宋体"/>
                <w:lang w:val="en-US" w:eastAsia="zh-CN"/>
              </w:rPr>
              <w:t>关键字</w:t>
            </w:r>
            <w:r>
              <w:rPr>
                <w:rFonts w:hint="eastAsia"/>
              </w:rPr>
              <w:t>监测、预警、搜索、分析、研判等服务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包括但不限于</w:t>
            </w:r>
            <w:r>
              <w:rPr>
                <w:rFonts w:hint="eastAsia"/>
              </w:rPr>
              <w:t>火山、西瓜、秒拍、快手、抖音、全民小视频、哔哩哔哩等主流</w:t>
            </w:r>
            <w:r>
              <w:rPr>
                <w:rFonts w:hint="eastAsia" w:eastAsia="宋体"/>
                <w:lang w:val="en-US" w:eastAsia="zh-CN"/>
              </w:rPr>
              <w:t>小视频</w:t>
            </w:r>
            <w:r>
              <w:rPr>
                <w:rFonts w:hint="eastAsia"/>
              </w:rPr>
              <w:t>平台。</w:t>
            </w:r>
          </w:p>
          <w:p w14:paraId="0EC04709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  <w:r>
              <w:rPr>
                <w:rFonts w:hint="eastAsia"/>
              </w:rPr>
              <w:t>.图片识别: 支持图片OCR识别，如电商图文、广告图文、横幅、宣传资料、拍照资料，街景文字等，识别平均准确率需在95% 以上</w:t>
            </w:r>
            <w:r>
              <w:rPr>
                <w:rFonts w:hint="eastAsia" w:eastAsia="宋体"/>
                <w:lang w:eastAsia="zh-CN"/>
              </w:rPr>
              <w:t>。</w:t>
            </w:r>
          </w:p>
          <w:p w14:paraId="3E36D49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  <w:r>
              <w:rPr>
                <w:rFonts w:hint="eastAsia"/>
              </w:rPr>
              <w:t>.全网搜索: 支持系统站内搜索、元搜索（百度、必应、360、搜狗等）、新浪微博高级搜索等多种检索形式。</w:t>
            </w:r>
          </w:p>
          <w:p w14:paraId="3F8915FB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  <w:r>
              <w:rPr>
                <w:rFonts w:hint="eastAsia"/>
              </w:rPr>
              <w:t>.事件分析: 通过对全网媒体信息来源，全面、持续的监测、采集网络数据，动态展示信息的变化情况。</w:t>
            </w:r>
          </w:p>
          <w:p w14:paraId="1D5FBB3E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  <w:r>
              <w:rPr>
                <w:rFonts w:hint="eastAsia"/>
              </w:rPr>
              <w:t>.一键溯源：提供对新闻、微博信息的一键溯源（可追溯首发、传播路径、关键传播节点、传播趋势等）</w:t>
            </w:r>
          </w:p>
        </w:tc>
        <w:tc>
          <w:tcPr>
            <w:tcW w:w="552" w:type="dxa"/>
            <w:vMerge w:val="restart"/>
            <w:vAlign w:val="center"/>
          </w:tcPr>
          <w:p w14:paraId="6FEF32B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2AA304DA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644049F1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份</w:t>
            </w:r>
          </w:p>
        </w:tc>
        <w:tc>
          <w:tcPr>
            <w:tcW w:w="661" w:type="dxa"/>
            <w:vMerge w:val="restart"/>
            <w:vAlign w:val="center"/>
          </w:tcPr>
          <w:p w14:paraId="12F9F330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</w:p>
          <w:p w14:paraId="109EBE9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54444D70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14:paraId="61B0AFB3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365</w:t>
            </w:r>
          </w:p>
        </w:tc>
      </w:tr>
      <w:tr w14:paraId="144A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7" w:type="dxa"/>
            <w:vMerge w:val="continue"/>
            <w:vAlign w:val="top"/>
          </w:tcPr>
          <w:p w14:paraId="61265C93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1232" w:type="dxa"/>
            <w:vAlign w:val="center"/>
          </w:tcPr>
          <w:p w14:paraId="51D0CE6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7*24小时人工监测服务</w:t>
            </w:r>
          </w:p>
        </w:tc>
        <w:tc>
          <w:tcPr>
            <w:tcW w:w="5455" w:type="dxa"/>
            <w:vAlign w:val="top"/>
          </w:tcPr>
          <w:p w14:paraId="4142AE56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在重大舆情事件发生时通过舆情信息审核团队的专业服务，第一时间推送预警信息给</w:t>
            </w:r>
            <w:r>
              <w:rPr>
                <w:rFonts w:hint="eastAsia" w:eastAsia="宋体"/>
                <w:lang w:val="en-US" w:eastAsia="zh-CN"/>
              </w:rPr>
              <w:t>采购方</w:t>
            </w:r>
            <w:r>
              <w:rPr>
                <w:rFonts w:hint="eastAsia"/>
              </w:rPr>
              <w:t>，从而为</w:t>
            </w:r>
            <w:r>
              <w:rPr>
                <w:rFonts w:hint="eastAsia" w:eastAsia="宋体"/>
                <w:lang w:val="en-US" w:eastAsia="zh-CN"/>
              </w:rPr>
              <w:t>采购方</w:t>
            </w:r>
            <w:r>
              <w:rPr>
                <w:rFonts w:hint="eastAsia"/>
              </w:rPr>
              <w:t>舆情研判和应对争取更多黄金时间。</w:t>
            </w:r>
          </w:p>
          <w:p w14:paraId="6C23B990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支持7*24预警方式，有专人负责，对数据进行人工监测，发现重大舆情线索或负面报道，根据</w:t>
            </w:r>
            <w:r>
              <w:rPr>
                <w:rFonts w:hint="eastAsia" w:eastAsia="宋体"/>
                <w:lang w:val="en-US" w:eastAsia="zh-CN"/>
              </w:rPr>
              <w:t>采购方</w:t>
            </w:r>
            <w:r>
              <w:rPr>
                <w:rFonts w:hint="eastAsia"/>
              </w:rPr>
              <w:t>需要第一时间将预警信息传递到用户。供应商为本项目配备的服务人员熟悉互联网信息服务相关工作。</w:t>
            </w:r>
          </w:p>
        </w:tc>
        <w:tc>
          <w:tcPr>
            <w:tcW w:w="552" w:type="dxa"/>
            <w:vMerge w:val="continue"/>
            <w:vAlign w:val="top"/>
          </w:tcPr>
          <w:p w14:paraId="307B6C5B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661" w:type="dxa"/>
            <w:vMerge w:val="continue"/>
            <w:tcBorders/>
            <w:vAlign w:val="top"/>
          </w:tcPr>
          <w:p w14:paraId="33B7FC3D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</w:tr>
      <w:tr w14:paraId="13534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7" w:type="dxa"/>
            <w:vMerge w:val="restart"/>
            <w:vAlign w:val="center"/>
          </w:tcPr>
          <w:p w14:paraId="7A2A4099">
            <w:pPr>
              <w:pStyle w:val="6"/>
              <w:numPr>
                <w:ilvl w:val="0"/>
                <w:numId w:val="0"/>
              </w:numPr>
              <w:ind w:leftChars="400"/>
              <w:jc w:val="center"/>
              <w:rPr>
                <w:rFonts w:hint="eastAsia"/>
              </w:rPr>
            </w:pPr>
          </w:p>
          <w:p w14:paraId="4B33ABB6">
            <w:pPr>
              <w:bidi w:val="0"/>
              <w:jc w:val="center"/>
              <w:rPr>
                <w:rFonts w:hint="eastAsia"/>
              </w:rPr>
            </w:pPr>
          </w:p>
          <w:p w14:paraId="1BB5F121">
            <w:pPr>
              <w:bidi w:val="0"/>
              <w:jc w:val="center"/>
              <w:rPr>
                <w:rFonts w:hint="eastAsia"/>
              </w:rPr>
            </w:pPr>
          </w:p>
          <w:p w14:paraId="74BCC49F">
            <w:pPr>
              <w:bidi w:val="0"/>
              <w:jc w:val="center"/>
              <w:rPr>
                <w:rFonts w:hint="eastAsia"/>
              </w:rPr>
            </w:pPr>
          </w:p>
          <w:p w14:paraId="04519E3B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232" w:type="dxa"/>
            <w:vMerge w:val="restart"/>
            <w:vAlign w:val="center"/>
          </w:tcPr>
          <w:p w14:paraId="7BEDF357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其它服务</w:t>
            </w:r>
          </w:p>
        </w:tc>
        <w:tc>
          <w:tcPr>
            <w:tcW w:w="5455" w:type="dxa"/>
            <w:vAlign w:val="top"/>
          </w:tcPr>
          <w:p w14:paraId="549C62DA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季度报：每季度一份舆情报告。整体舆情走势的分析及重要舆情事件的深入分析，提供参考性建议。</w:t>
            </w:r>
          </w:p>
        </w:tc>
        <w:tc>
          <w:tcPr>
            <w:tcW w:w="552" w:type="dxa"/>
            <w:vMerge w:val="restart"/>
            <w:vAlign w:val="top"/>
          </w:tcPr>
          <w:p w14:paraId="521BD5E7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份</w:t>
            </w:r>
          </w:p>
          <w:p w14:paraId="0079FFA3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份</w:t>
            </w:r>
          </w:p>
          <w:p w14:paraId="336B8427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份</w:t>
            </w:r>
          </w:p>
        </w:tc>
        <w:tc>
          <w:tcPr>
            <w:tcW w:w="661" w:type="dxa"/>
            <w:vMerge w:val="restart"/>
            <w:tcBorders/>
            <w:vAlign w:val="top"/>
          </w:tcPr>
          <w:p w14:paraId="7EE849DD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  <w:p w14:paraId="4879AC9E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待定</w:t>
            </w:r>
          </w:p>
        </w:tc>
      </w:tr>
      <w:tr w14:paraId="24E48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27" w:type="dxa"/>
            <w:vMerge w:val="continue"/>
            <w:vAlign w:val="top"/>
          </w:tcPr>
          <w:p w14:paraId="1334BEB6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1232" w:type="dxa"/>
            <w:vMerge w:val="continue"/>
            <w:vAlign w:val="top"/>
          </w:tcPr>
          <w:p w14:paraId="5312D922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5455" w:type="dxa"/>
            <w:vAlign w:val="top"/>
          </w:tcPr>
          <w:p w14:paraId="250ACA75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年报：全年工作特点与规律，研究部署下一阶段工作安排，制定与完善相关工作措施，优化甲方相关宣传工作提供参考</w:t>
            </w:r>
            <w:r>
              <w:rPr>
                <w:rFonts w:hint="eastAsia" w:eastAsia="宋体"/>
                <w:lang w:eastAsia="zh-CN"/>
              </w:rPr>
              <w:t>。</w:t>
            </w:r>
          </w:p>
        </w:tc>
        <w:tc>
          <w:tcPr>
            <w:tcW w:w="552" w:type="dxa"/>
            <w:vMerge w:val="continue"/>
            <w:tcBorders/>
            <w:vAlign w:val="top"/>
          </w:tcPr>
          <w:p w14:paraId="59C8C0F1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661" w:type="dxa"/>
            <w:vMerge w:val="continue"/>
            <w:tcBorders/>
            <w:vAlign w:val="top"/>
          </w:tcPr>
          <w:p w14:paraId="09596D17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</w:tr>
      <w:tr w14:paraId="6C44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27" w:type="dxa"/>
            <w:vMerge w:val="continue"/>
            <w:vAlign w:val="top"/>
          </w:tcPr>
          <w:p w14:paraId="2B3FDC7B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1232" w:type="dxa"/>
            <w:vMerge w:val="continue"/>
            <w:vAlign w:val="top"/>
          </w:tcPr>
          <w:p w14:paraId="0EE8A857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5455" w:type="dxa"/>
            <w:vAlign w:val="top"/>
          </w:tcPr>
          <w:p w14:paraId="3365D4DF">
            <w:pPr>
              <w:pStyle w:val="6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eastAsia="宋体"/>
                <w:lang w:val="en-US" w:eastAsia="zh-CN"/>
              </w:rPr>
              <w:t>重大</w:t>
            </w:r>
            <w:r>
              <w:rPr>
                <w:rFonts w:hint="eastAsia"/>
              </w:rPr>
              <w:t>舆情事件专报：针对</w:t>
            </w:r>
            <w:r>
              <w:rPr>
                <w:rFonts w:hint="eastAsia" w:eastAsia="宋体"/>
                <w:lang w:val="en-US" w:eastAsia="zh-CN"/>
              </w:rPr>
              <w:t>重大舆情</w:t>
            </w:r>
            <w:r>
              <w:rPr>
                <w:rFonts w:hint="eastAsia"/>
              </w:rPr>
              <w:t>事件提供研判分析报告，舆情事件概述、事件数据分析、事件传播分析、事件调性研判、网民观点、媒体观点、事件走势及后续判断、舆情建议等</w:t>
            </w:r>
          </w:p>
        </w:tc>
        <w:tc>
          <w:tcPr>
            <w:tcW w:w="552" w:type="dxa"/>
            <w:vMerge w:val="continue"/>
            <w:tcBorders/>
            <w:vAlign w:val="top"/>
          </w:tcPr>
          <w:p w14:paraId="62F19B82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  <w:tc>
          <w:tcPr>
            <w:tcW w:w="661" w:type="dxa"/>
            <w:vMerge w:val="continue"/>
            <w:tcBorders/>
            <w:vAlign w:val="top"/>
          </w:tcPr>
          <w:p w14:paraId="79DB6BED">
            <w:pPr>
              <w:pStyle w:val="6"/>
              <w:numPr>
                <w:ilvl w:val="0"/>
                <w:numId w:val="0"/>
              </w:numPr>
              <w:ind w:leftChars="400"/>
              <w:jc w:val="both"/>
              <w:rPr>
                <w:rFonts w:hint="eastAsia"/>
              </w:rPr>
            </w:pPr>
          </w:p>
        </w:tc>
      </w:tr>
    </w:tbl>
    <w:p w14:paraId="0024B5E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 w14:paraId="6A51693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</w:p>
    <w:p w14:paraId="5E29673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（二）售后保障机制</w:t>
      </w:r>
    </w:p>
    <w:p w14:paraId="33EEB9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1、监测内容优化：实时协助系统监测关键词调整优化，系统特殊性更新迭代不断升级优化，提供优势保障及服务。</w:t>
      </w:r>
    </w:p>
    <w:p w14:paraId="6E0DBB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2、若发生较大及以上负面舆情，服务方在2小时内会同甲方发起舆情会商等措施进行舆情处理.</w:t>
      </w:r>
    </w:p>
    <w:p w14:paraId="5398A0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四、联系方式</w:t>
      </w:r>
    </w:p>
    <w:p w14:paraId="190CB1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采购人：重庆市红十字会医院</w:t>
      </w:r>
    </w:p>
    <w:p w14:paraId="1C7FA7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联系人：刘老师</w:t>
      </w:r>
    </w:p>
    <w:p w14:paraId="76F350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电    话：023-88517607</w:t>
      </w:r>
    </w:p>
    <w:p w14:paraId="17934A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地    址：重庆市两江新区嘉陵一村1号</w:t>
      </w:r>
    </w:p>
    <w:p w14:paraId="5AC7B5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</w:rPr>
        <w:t>、评选方法</w:t>
      </w:r>
    </w:p>
    <w:p w14:paraId="4F057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  <w:t>最低价评审法。已入围评审的报价供应商，选择总体概算综合性报价最低的成为成交供应商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  <w:t>未入围的报名供应商不参与评审。</w:t>
      </w:r>
    </w:p>
    <w:p w14:paraId="4E1BD0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六</w:t>
      </w:r>
      <w:r>
        <w:rPr>
          <w:rFonts w:hint="default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</w:rPr>
        <w:t>、其他</w:t>
      </w:r>
    </w:p>
    <w:p w14:paraId="36D73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  <w:t>1.供应商必须对以上条款和服务承诺明确列出，承诺内容必须达到要求。</w:t>
      </w:r>
      <w:bookmarkStart w:id="0" w:name="_GoBack"/>
      <w:bookmarkEnd w:id="0"/>
    </w:p>
    <w:p w14:paraId="1D5E95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  <w:t>2.其他未尽事宜由供需双方在采购合同中详细约定。</w:t>
      </w:r>
    </w:p>
    <w:p w14:paraId="0620A1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七</w:t>
      </w:r>
      <w:r>
        <w:rPr>
          <w:rFonts w:hint="default" w:ascii="方正黑体_GBK" w:hAnsi="方正黑体_GBK" w:eastAsia="方正黑体_GBK" w:cs="方正黑体_GBK"/>
          <w:b w:val="0"/>
          <w:bCs w:val="0"/>
          <w:spacing w:val="0"/>
          <w:w w:val="100"/>
          <w:position w:val="0"/>
          <w:sz w:val="32"/>
          <w:szCs w:val="32"/>
        </w:rPr>
        <w:t>、供应商提交响应文件</w:t>
      </w:r>
    </w:p>
    <w:p w14:paraId="2C78A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  <w:t>1.采购人将以现场投标的纸质资料作为评判依据。</w:t>
      </w:r>
    </w:p>
    <w:p w14:paraId="51A39E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截止时间：2025年12月22日14时30分（北京时间）</w:t>
      </w:r>
    </w:p>
    <w:p w14:paraId="29D373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958" w:leftChars="304" w:hanging="320" w:hangingChars="100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 xml:space="preserve">  递交地点：重庆市红十字会医院2号楼1楼眼科会议室</w:t>
      </w:r>
    </w:p>
    <w:p w14:paraId="3F479994">
      <w:pPr>
        <w:rPr>
          <w:rFonts w:hint="eastAsia" w:eastAsia="宋体"/>
          <w:lang w:val="en-US" w:eastAsia="zh-CN"/>
        </w:rPr>
      </w:pPr>
    </w:p>
    <w:sectPr>
      <w:footerReference r:id="rId5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E2D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11C5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11C5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BCF9A"/>
    <w:multiLevelType w:val="singleLevel"/>
    <w:tmpl w:val="F1DBCF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zA5NWY2YTUyNzcxNTU3ODJmMzYwZWM5ZTU0ZDgifQ=="/>
    <w:docVar w:name="KSO_WPS_MARK_KEY" w:val="6f0face0-52ad-4e12-8638-dfa110eef9f8"/>
  </w:docVars>
  <w:rsids>
    <w:rsidRoot w:val="00000000"/>
    <w:rsid w:val="00AF0F88"/>
    <w:rsid w:val="090108A9"/>
    <w:rsid w:val="0C580B1C"/>
    <w:rsid w:val="13305CC1"/>
    <w:rsid w:val="16E17E01"/>
    <w:rsid w:val="1A38647C"/>
    <w:rsid w:val="2D7C16CD"/>
    <w:rsid w:val="3386035D"/>
    <w:rsid w:val="341F32FA"/>
    <w:rsid w:val="36B8479A"/>
    <w:rsid w:val="3ABC1D33"/>
    <w:rsid w:val="3C032753"/>
    <w:rsid w:val="3C6A11AE"/>
    <w:rsid w:val="4072490A"/>
    <w:rsid w:val="469C7D5D"/>
    <w:rsid w:val="4BD07693"/>
    <w:rsid w:val="4BF638F0"/>
    <w:rsid w:val="4DD43DBE"/>
    <w:rsid w:val="4DDC7AF1"/>
    <w:rsid w:val="539D4551"/>
    <w:rsid w:val="53C524FF"/>
    <w:rsid w:val="60B1369E"/>
    <w:rsid w:val="632A6765"/>
    <w:rsid w:val="6D065247"/>
    <w:rsid w:val="70383224"/>
    <w:rsid w:val="70635A1F"/>
    <w:rsid w:val="70B71BF9"/>
    <w:rsid w:val="71186146"/>
    <w:rsid w:val="73335EE0"/>
    <w:rsid w:val="75874327"/>
    <w:rsid w:val="7B9917C8"/>
    <w:rsid w:val="7BCA5728"/>
    <w:rsid w:val="7D0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560" w:leftChars="200" w:firstLine="0" w:firstLineChar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1330</Words>
  <Characters>1383</Characters>
  <Lines>0</Lines>
  <Paragraphs>0</Paragraphs>
  <TotalTime>3</TotalTime>
  <ScaleCrop>false</ScaleCrop>
  <LinksUpToDate>false</LinksUpToDate>
  <CharactersWithSpaces>1406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2024-05-11T06:33:00Z</dcterms:created>
  <dc:creator>wlfc</dc:creator>
  <cp:lastModifiedBy>space</cp:lastModifiedBy>
  <cp:lastPrinted>2025-12-16T03:01:00Z</cp:lastPrinted>
  <dcterms:modified xsi:type="dcterms:W3CDTF">2025-12-17T01:55:12Z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87E646D491ED489D850208380AB80617_13</vt:lpwstr>
  </property>
  <property fmtid="{D5CDD505-2E9C-101B-9397-08002B2CF9AE}" pid="4" name="KSOTemplateDocerSaveRecord">
    <vt:lpwstr>eyJoZGlkIjoiYmYwMzA5NWY2YTUyNzcxNTU3ODJmMzYwZWM5ZTU0ZDgiLCJ1c2VySWQiOiI5NzAxOTU4MzMifQ==</vt:lpwstr>
  </property>
</Properties>
</file>