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8C13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重庆市红十字会医院</w:t>
      </w:r>
    </w:p>
    <w:p w14:paraId="1284BC1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color w:val="auto"/>
          <w:sz w:val="44"/>
          <w:szCs w:val="44"/>
        </w:rPr>
      </w:pPr>
      <w:r>
        <w:rPr>
          <w:rFonts w:hint="default" w:ascii="Times New Roman" w:hAnsi="Times New Roman" w:eastAsia="方正小标宋_GBK" w:cs="Times New Roman"/>
          <w:color w:val="auto"/>
          <w:sz w:val="44"/>
          <w:szCs w:val="44"/>
        </w:rPr>
        <w:t>住院患者陪护</w:t>
      </w:r>
      <w:r>
        <w:rPr>
          <w:rFonts w:hint="default" w:ascii="Times New Roman" w:hAnsi="Times New Roman" w:eastAsia="方正小标宋_GBK" w:cs="Times New Roman"/>
          <w:color w:val="auto"/>
          <w:sz w:val="44"/>
          <w:szCs w:val="44"/>
          <w:highlight w:val="none"/>
        </w:rPr>
        <w:t>服务</w:t>
      </w:r>
      <w:r>
        <w:rPr>
          <w:rFonts w:hint="default" w:ascii="Times New Roman" w:hAnsi="Times New Roman" w:eastAsia="方正小标宋_GBK" w:cs="Times New Roman"/>
          <w:color w:val="auto"/>
          <w:sz w:val="44"/>
          <w:szCs w:val="44"/>
          <w:highlight w:val="none"/>
          <w:lang w:eastAsia="zh-CN"/>
        </w:rPr>
        <w:t>遴选采购</w:t>
      </w:r>
      <w:r>
        <w:rPr>
          <w:rFonts w:hint="default" w:ascii="Times New Roman" w:hAnsi="Times New Roman" w:eastAsia="方正小标宋_GBK" w:cs="Times New Roman"/>
          <w:color w:val="auto"/>
          <w:sz w:val="44"/>
          <w:szCs w:val="44"/>
        </w:rPr>
        <w:t>文件</w:t>
      </w:r>
    </w:p>
    <w:p w14:paraId="5700D501">
      <w:pPr>
        <w:pageBreakBefore w:val="0"/>
        <w:widowControl w:val="0"/>
        <w:kinsoku/>
        <w:wordWrap/>
        <w:overflowPunct/>
        <w:topLinePunct w:val="0"/>
        <w:autoSpaceDE/>
        <w:autoSpaceDN/>
        <w:bidi w:val="0"/>
        <w:adjustRightInd/>
        <w:snapToGrid/>
        <w:spacing w:line="480" w:lineRule="exact"/>
        <w:textAlignment w:val="auto"/>
        <w:outlineLvl w:val="0"/>
        <w:rPr>
          <w:rFonts w:hint="default" w:ascii="Times New Roman" w:hAnsi="Times New Roman" w:cs="Times New Roman"/>
          <w:b/>
          <w:bCs/>
          <w:color w:val="auto"/>
          <w:sz w:val="24"/>
          <w:szCs w:val="24"/>
        </w:rPr>
      </w:pPr>
    </w:p>
    <w:p w14:paraId="4813CB50">
      <w:pPr>
        <w:pStyle w:val="5"/>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b/>
          <w:bCs/>
          <w:color w:val="auto"/>
          <w:sz w:val="24"/>
          <w:szCs w:val="24"/>
        </w:rPr>
      </w:pPr>
    </w:p>
    <w:p w14:paraId="5B445180">
      <w:pPr>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b/>
          <w:bCs/>
          <w:color w:val="auto"/>
          <w:sz w:val="24"/>
          <w:szCs w:val="24"/>
        </w:rPr>
      </w:pPr>
    </w:p>
    <w:p w14:paraId="4F113FB2">
      <w:pPr>
        <w:pStyle w:val="5"/>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rPr>
      </w:pPr>
    </w:p>
    <w:p w14:paraId="7F32DF22">
      <w:pPr>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4"/>
          <w:szCs w:val="24"/>
        </w:rPr>
      </w:pPr>
    </w:p>
    <w:p w14:paraId="3AF036AC">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color w:val="auto"/>
          <w:sz w:val="32"/>
          <w:szCs w:val="32"/>
        </w:rPr>
      </w:pPr>
      <w:r>
        <w:rPr>
          <w:rFonts w:hint="default" w:ascii="Times New Roman" w:hAnsi="Times New Roman" w:eastAsia="方正小标宋_GBK" w:cs="Times New Roman"/>
          <w:color w:val="auto"/>
          <w:sz w:val="32"/>
          <w:szCs w:val="32"/>
        </w:rPr>
        <w:t>采购文件编号：</w:t>
      </w:r>
    </w:p>
    <w:p w14:paraId="63E5650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color w:val="auto"/>
          <w:sz w:val="32"/>
          <w:szCs w:val="32"/>
        </w:rPr>
      </w:pPr>
      <w:r>
        <w:rPr>
          <w:rFonts w:hint="default" w:ascii="Times New Roman" w:hAnsi="Times New Roman" w:eastAsia="方正小标宋_GBK" w:cs="Times New Roman"/>
          <w:color w:val="auto"/>
          <w:sz w:val="32"/>
          <w:szCs w:val="32"/>
        </w:rPr>
        <w:t>项目名称：住院患者陪护服务</w:t>
      </w:r>
    </w:p>
    <w:p w14:paraId="3183F160">
      <w:pPr>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color w:val="auto"/>
          <w:sz w:val="32"/>
        </w:rPr>
      </w:pPr>
    </w:p>
    <w:p w14:paraId="3907DF48">
      <w:pPr>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
          <w:color w:val="auto"/>
          <w:sz w:val="36"/>
          <w:szCs w:val="36"/>
        </w:rPr>
      </w:pPr>
    </w:p>
    <w:p w14:paraId="0E8AFF2A">
      <w:pPr>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rPr>
      </w:pPr>
    </w:p>
    <w:p w14:paraId="6CF39A70">
      <w:pPr>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rPr>
      </w:pPr>
    </w:p>
    <w:p w14:paraId="520BAC15">
      <w:pPr>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rPr>
      </w:pPr>
    </w:p>
    <w:p w14:paraId="6233A651">
      <w:pPr>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rPr>
      </w:pPr>
    </w:p>
    <w:p w14:paraId="535627E0">
      <w:pPr>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rPr>
      </w:pPr>
    </w:p>
    <w:p w14:paraId="0CEE18FF">
      <w:pPr>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rPr>
      </w:pPr>
    </w:p>
    <w:p w14:paraId="561D7837">
      <w:pPr>
        <w:pageBreakBefore w:val="0"/>
        <w:widowControl w:val="0"/>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rPr>
      </w:pPr>
    </w:p>
    <w:p w14:paraId="52B70FA5">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color w:val="auto"/>
          <w:sz w:val="32"/>
          <w:szCs w:val="32"/>
        </w:rPr>
      </w:pPr>
      <w:r>
        <w:rPr>
          <w:rFonts w:hint="default" w:ascii="Times New Roman" w:hAnsi="Times New Roman" w:eastAsia="方正小标宋_GBK" w:cs="Times New Roman"/>
          <w:color w:val="auto"/>
          <w:sz w:val="32"/>
          <w:szCs w:val="32"/>
        </w:rPr>
        <w:t>采购人：</w:t>
      </w:r>
      <w:r>
        <w:rPr>
          <w:rFonts w:hint="default" w:ascii="Times New Roman" w:hAnsi="Times New Roman" w:eastAsia="方正小标宋_GBK" w:cs="Times New Roman"/>
          <w:color w:val="auto"/>
          <w:sz w:val="32"/>
          <w:szCs w:val="32"/>
          <w:lang w:eastAsia="zh-CN"/>
        </w:rPr>
        <w:t>重庆市红十字会医院</w:t>
      </w:r>
    </w:p>
    <w:p w14:paraId="4F4C755D">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方正小标宋_GBK" w:cs="Times New Roman"/>
          <w:color w:val="auto"/>
          <w:sz w:val="32"/>
          <w:szCs w:val="32"/>
        </w:rPr>
        <w:sectPr>
          <w:footerReference r:id="rId3" w:type="default"/>
          <w:pgSz w:w="11906" w:h="16838"/>
          <w:pgMar w:top="1984" w:right="1446" w:bottom="1644" w:left="1446" w:header="851" w:footer="992" w:gutter="0"/>
          <w:pgNumType w:fmt="decimal"/>
          <w:cols w:space="0" w:num="1"/>
          <w:rtlGutter w:val="0"/>
          <w:docGrid w:type="lines" w:linePitch="312" w:charSpace="0"/>
        </w:sectPr>
      </w:pPr>
      <w:r>
        <w:rPr>
          <w:rFonts w:hint="default" w:ascii="Times New Roman" w:hAnsi="Times New Roman" w:eastAsia="方正小标宋_GBK" w:cs="Times New Roman"/>
          <w:color w:val="auto"/>
          <w:sz w:val="32"/>
          <w:szCs w:val="32"/>
        </w:rPr>
        <w:t>二〇二</w:t>
      </w:r>
      <w:r>
        <w:rPr>
          <w:rFonts w:hint="default" w:ascii="Times New Roman" w:hAnsi="Times New Roman" w:eastAsia="方正小标宋_GBK" w:cs="Times New Roman"/>
          <w:color w:val="auto"/>
          <w:sz w:val="32"/>
          <w:szCs w:val="32"/>
          <w:lang w:val="en-US" w:eastAsia="zh-CN"/>
        </w:rPr>
        <w:t>六</w:t>
      </w:r>
      <w:r>
        <w:rPr>
          <w:rFonts w:hint="default" w:ascii="Times New Roman" w:hAnsi="Times New Roman" w:eastAsia="方正小标宋_GBK" w:cs="Times New Roman"/>
          <w:color w:val="auto"/>
          <w:sz w:val="32"/>
          <w:szCs w:val="32"/>
        </w:rPr>
        <w:t>年</w:t>
      </w:r>
      <w:r>
        <w:rPr>
          <w:rFonts w:hint="default" w:ascii="Times New Roman" w:hAnsi="Times New Roman" w:eastAsia="方正小标宋_GBK" w:cs="Times New Roman"/>
          <w:color w:val="auto"/>
          <w:sz w:val="32"/>
          <w:szCs w:val="32"/>
          <w:lang w:val="en-US" w:eastAsia="zh-CN"/>
        </w:rPr>
        <w:t>八</w:t>
      </w:r>
      <w:r>
        <w:rPr>
          <w:rFonts w:hint="default" w:ascii="Times New Roman" w:hAnsi="Times New Roman" w:eastAsia="方正小标宋_GBK" w:cs="Times New Roman"/>
          <w:color w:val="auto"/>
          <w:sz w:val="32"/>
          <w:szCs w:val="32"/>
        </w:rPr>
        <w:t>月</w:t>
      </w:r>
    </w:p>
    <w:p w14:paraId="72AC89DF">
      <w:pPr>
        <w:pStyle w:val="16"/>
        <w:bidi w:val="0"/>
        <w:rPr>
          <w:rFonts w:hint="default" w:ascii="Times New Roman" w:hAnsi="Times New Roman" w:cs="Times New Roman"/>
          <w:color w:val="auto"/>
        </w:rPr>
      </w:pPr>
      <w:bookmarkStart w:id="0" w:name="_Toc12789052"/>
      <w:bookmarkStart w:id="1" w:name="_Toc11641050"/>
      <w:bookmarkStart w:id="2" w:name="_Toc5782"/>
      <w:r>
        <w:rPr>
          <w:rFonts w:hint="default" w:ascii="Times New Roman" w:hAnsi="Times New Roman" w:cs="Times New Roman"/>
          <w:color w:val="auto"/>
        </w:rPr>
        <w:t>第一篇 竞采邀请书</w:t>
      </w:r>
      <w:bookmarkEnd w:id="0"/>
      <w:bookmarkEnd w:id="1"/>
      <w:bookmarkEnd w:id="2"/>
    </w:p>
    <w:p w14:paraId="0485AAA9">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textAlignment w:val="auto"/>
        <w:rPr>
          <w:rFonts w:hint="default" w:ascii="Times New Roman" w:hAnsi="Times New Roman" w:eastAsia="方正仿宋_GBK" w:cs="Times New Roman"/>
          <w:b w:val="0"/>
          <w:bCs w:val="0"/>
          <w:color w:val="auto"/>
          <w:sz w:val="24"/>
          <w:szCs w:val="24"/>
        </w:rPr>
      </w:pPr>
      <w:r>
        <w:rPr>
          <w:rFonts w:hint="default" w:ascii="Times New Roman" w:hAnsi="Times New Roman" w:eastAsia="方正仿宋_GBK" w:cs="Times New Roman"/>
          <w:b w:val="0"/>
          <w:bCs w:val="0"/>
          <w:color w:val="auto"/>
          <w:sz w:val="24"/>
          <w:szCs w:val="24"/>
          <w:lang w:eastAsia="zh-CN"/>
        </w:rPr>
        <w:t>重庆市红十字会医院</w:t>
      </w:r>
      <w:r>
        <w:rPr>
          <w:rFonts w:hint="default" w:ascii="Times New Roman" w:hAnsi="Times New Roman" w:eastAsia="方正仿宋_GBK" w:cs="Times New Roman"/>
          <w:b w:val="0"/>
          <w:bCs w:val="0"/>
          <w:color w:val="auto"/>
          <w:sz w:val="24"/>
          <w:szCs w:val="24"/>
          <w:lang w:val="en-US" w:eastAsia="zh-CN"/>
        </w:rPr>
        <w:t>拟</w:t>
      </w:r>
      <w:r>
        <w:rPr>
          <w:rFonts w:hint="default" w:ascii="Times New Roman" w:hAnsi="Times New Roman" w:eastAsia="方正仿宋_GBK" w:cs="Times New Roman"/>
          <w:b w:val="0"/>
          <w:bCs w:val="0"/>
          <w:color w:val="auto"/>
          <w:sz w:val="24"/>
          <w:szCs w:val="24"/>
        </w:rPr>
        <w:t>对</w:t>
      </w:r>
      <w:r>
        <w:rPr>
          <w:rFonts w:hint="default" w:ascii="Times New Roman" w:hAnsi="Times New Roman" w:eastAsia="仿宋" w:cs="Times New Roman"/>
          <w:b w:val="0"/>
          <w:bCs w:val="0"/>
          <w:kern w:val="0"/>
          <w:sz w:val="24"/>
          <w:szCs w:val="24"/>
          <w:lang w:val="en-US" w:eastAsia="zh-CN"/>
        </w:rPr>
        <w:t>五里店院区</w:t>
      </w:r>
      <w:r>
        <w:rPr>
          <w:rFonts w:hint="default" w:ascii="Times New Roman" w:hAnsi="Times New Roman" w:eastAsia="方正仿宋_GBK" w:cs="Times New Roman"/>
          <w:b w:val="0"/>
          <w:bCs w:val="0"/>
          <w:color w:val="auto"/>
          <w:sz w:val="24"/>
          <w:szCs w:val="24"/>
          <w:lang w:eastAsia="zh-CN"/>
        </w:rPr>
        <w:t>住院患者陪护服务</w:t>
      </w:r>
      <w:r>
        <w:rPr>
          <w:rFonts w:hint="default" w:ascii="Times New Roman" w:hAnsi="Times New Roman" w:eastAsia="方正仿宋_GBK" w:cs="Times New Roman"/>
          <w:b w:val="0"/>
          <w:bCs w:val="0"/>
          <w:color w:val="auto"/>
          <w:sz w:val="24"/>
          <w:szCs w:val="24"/>
          <w:highlight w:val="none"/>
        </w:rPr>
        <w:t>进行</w:t>
      </w:r>
      <w:r>
        <w:rPr>
          <w:rFonts w:hint="default" w:ascii="Times New Roman" w:hAnsi="Times New Roman" w:eastAsia="方正仿宋_GBK" w:cs="Times New Roman"/>
          <w:b w:val="0"/>
          <w:bCs w:val="0"/>
          <w:color w:val="auto"/>
          <w:sz w:val="24"/>
          <w:szCs w:val="24"/>
          <w:highlight w:val="none"/>
          <w:lang w:val="en-US" w:eastAsia="zh-CN"/>
        </w:rPr>
        <w:t>遴选</w:t>
      </w:r>
      <w:r>
        <w:rPr>
          <w:rFonts w:hint="default" w:ascii="Times New Roman" w:hAnsi="Times New Roman" w:eastAsia="方正仿宋_GBK" w:cs="Times New Roman"/>
          <w:b w:val="0"/>
          <w:bCs w:val="0"/>
          <w:color w:val="auto"/>
          <w:sz w:val="24"/>
          <w:szCs w:val="24"/>
          <w:highlight w:val="none"/>
        </w:rPr>
        <w:t>。</w:t>
      </w:r>
    </w:p>
    <w:p w14:paraId="23D0FA14">
      <w:pPr>
        <w:pStyle w:val="5"/>
        <w:pageBreakBefore w:val="0"/>
        <w:widowControl w:val="0"/>
        <w:kinsoku/>
        <w:wordWrap/>
        <w:overflowPunct/>
        <w:topLinePunct w:val="0"/>
        <w:autoSpaceDE/>
        <w:autoSpaceDN/>
        <w:bidi w:val="0"/>
        <w:adjustRightInd w:val="0"/>
        <w:snapToGrid w:val="0"/>
        <w:spacing w:before="0" w:after="0" w:line="480" w:lineRule="exact"/>
        <w:ind w:firstLine="480" w:firstLineChars="200"/>
        <w:textAlignment w:val="auto"/>
        <w:rPr>
          <w:rFonts w:hint="default" w:ascii="Times New Roman" w:hAnsi="Times New Roman" w:eastAsia="方正黑体_GBK" w:cs="Times New Roman"/>
          <w:b w:val="0"/>
          <w:bCs w:val="0"/>
          <w:color w:val="auto"/>
          <w:sz w:val="24"/>
          <w:szCs w:val="24"/>
        </w:rPr>
      </w:pPr>
      <w:bookmarkStart w:id="3" w:name="_Toc313893526"/>
      <w:bookmarkStart w:id="4" w:name="_Toc15765"/>
      <w:bookmarkStart w:id="5" w:name="_Toc29871"/>
      <w:bookmarkStart w:id="6" w:name="_Toc22701"/>
      <w:bookmarkStart w:id="7" w:name="_Toc317775175"/>
      <w:r>
        <w:rPr>
          <w:rFonts w:hint="default" w:ascii="Times New Roman" w:hAnsi="Times New Roman" w:eastAsia="方正黑体_GBK" w:cs="Times New Roman"/>
          <w:b w:val="0"/>
          <w:bCs w:val="0"/>
          <w:color w:val="auto"/>
          <w:sz w:val="24"/>
          <w:szCs w:val="24"/>
        </w:rPr>
        <w:t>一、</w:t>
      </w:r>
      <w:r>
        <w:rPr>
          <w:rFonts w:hint="default" w:ascii="Times New Roman" w:hAnsi="Times New Roman" w:eastAsia="方正黑体_GBK" w:cs="Times New Roman"/>
          <w:b w:val="0"/>
          <w:bCs w:val="0"/>
          <w:color w:val="auto"/>
          <w:sz w:val="24"/>
          <w:szCs w:val="24"/>
          <w:lang w:eastAsia="zh-CN"/>
        </w:rPr>
        <w:t>遴选</w:t>
      </w:r>
      <w:r>
        <w:rPr>
          <w:rFonts w:hint="default" w:ascii="Times New Roman" w:hAnsi="Times New Roman" w:eastAsia="方正黑体_GBK" w:cs="Times New Roman"/>
          <w:b w:val="0"/>
          <w:bCs w:val="0"/>
          <w:color w:val="auto"/>
          <w:sz w:val="24"/>
          <w:szCs w:val="24"/>
        </w:rPr>
        <w:t>内容</w:t>
      </w:r>
      <w:bookmarkEnd w:id="3"/>
      <w:bookmarkEnd w:id="4"/>
      <w:bookmarkEnd w:id="5"/>
      <w:bookmarkEnd w:id="6"/>
      <w:bookmarkEnd w:id="7"/>
    </w:p>
    <w:tbl>
      <w:tblPr>
        <w:tblStyle w:val="10"/>
        <w:tblW w:w="81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0"/>
        <w:gridCol w:w="1742"/>
        <w:gridCol w:w="2200"/>
      </w:tblGrid>
      <w:tr w14:paraId="5CFA5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9" w:hRule="atLeast"/>
          <w:jc w:val="center"/>
        </w:trPr>
        <w:tc>
          <w:tcPr>
            <w:tcW w:w="4250" w:type="dxa"/>
            <w:tcBorders>
              <w:top w:val="single" w:color="auto" w:sz="4" w:space="0"/>
              <w:left w:val="single" w:color="auto" w:sz="4" w:space="0"/>
              <w:right w:val="single" w:color="auto" w:sz="4" w:space="0"/>
            </w:tcBorders>
            <w:vAlign w:val="center"/>
          </w:tcPr>
          <w:p w14:paraId="2025BE75">
            <w:pPr>
              <w:widowControl/>
              <w:jc w:val="center"/>
              <w:rPr>
                <w:rFonts w:hint="default" w:ascii="Times New Roman" w:hAnsi="Times New Roman" w:eastAsia="方正黑体_GBK" w:cs="Times New Roman"/>
                <w:b w:val="0"/>
                <w:bCs w:val="0"/>
                <w:color w:val="auto"/>
                <w:kern w:val="0"/>
                <w:sz w:val="21"/>
                <w:szCs w:val="21"/>
              </w:rPr>
            </w:pPr>
            <w:r>
              <w:rPr>
                <w:rFonts w:hint="default" w:ascii="Times New Roman" w:hAnsi="Times New Roman" w:eastAsia="方正黑体_GBK" w:cs="Times New Roman"/>
                <w:b w:val="0"/>
                <w:bCs w:val="0"/>
                <w:color w:val="auto"/>
                <w:kern w:val="0"/>
                <w:sz w:val="21"/>
                <w:szCs w:val="21"/>
              </w:rPr>
              <w:t>项目名称</w:t>
            </w:r>
          </w:p>
        </w:tc>
        <w:tc>
          <w:tcPr>
            <w:tcW w:w="1742" w:type="dxa"/>
            <w:tcBorders>
              <w:top w:val="single" w:color="auto" w:sz="4" w:space="0"/>
              <w:left w:val="single" w:color="auto" w:sz="4" w:space="0"/>
              <w:right w:val="single" w:color="auto" w:sz="4" w:space="0"/>
            </w:tcBorders>
            <w:vAlign w:val="center"/>
          </w:tcPr>
          <w:p w14:paraId="6A4B5826">
            <w:pPr>
              <w:widowControl/>
              <w:jc w:val="center"/>
              <w:rPr>
                <w:rFonts w:hint="default" w:ascii="Times New Roman" w:hAnsi="Times New Roman" w:eastAsia="方正黑体_GBK" w:cs="Times New Roman"/>
                <w:b w:val="0"/>
                <w:bCs w:val="0"/>
                <w:color w:val="auto"/>
                <w:kern w:val="0"/>
                <w:sz w:val="21"/>
                <w:szCs w:val="21"/>
                <w:highlight w:val="none"/>
                <w:lang w:eastAsia="zh-CN"/>
              </w:rPr>
            </w:pPr>
            <w:r>
              <w:rPr>
                <w:rFonts w:hint="default" w:ascii="Times New Roman" w:hAnsi="Times New Roman" w:eastAsia="方正黑体_GBK" w:cs="Times New Roman"/>
                <w:b w:val="0"/>
                <w:bCs w:val="0"/>
                <w:color w:val="auto"/>
                <w:kern w:val="0"/>
                <w:sz w:val="21"/>
                <w:szCs w:val="21"/>
                <w:highlight w:val="none"/>
                <w:lang w:eastAsia="zh-CN"/>
              </w:rPr>
              <w:t>数量</w:t>
            </w:r>
            <w:r>
              <w:rPr>
                <w:rFonts w:hint="default" w:ascii="Times New Roman" w:hAnsi="Times New Roman" w:eastAsia="方正黑体_GBK" w:cs="Times New Roman"/>
                <w:b w:val="0"/>
                <w:bCs w:val="0"/>
                <w:color w:val="auto"/>
                <w:kern w:val="0"/>
                <w:sz w:val="21"/>
                <w:szCs w:val="21"/>
                <w:highlight w:val="none"/>
                <w:lang w:val="en-US" w:eastAsia="zh-CN"/>
              </w:rPr>
              <w:t>/单位</w:t>
            </w:r>
          </w:p>
        </w:tc>
        <w:tc>
          <w:tcPr>
            <w:tcW w:w="2200" w:type="dxa"/>
            <w:tcBorders>
              <w:top w:val="single" w:color="auto" w:sz="4" w:space="0"/>
              <w:left w:val="single" w:color="auto" w:sz="4" w:space="0"/>
              <w:right w:val="single" w:color="auto" w:sz="4" w:space="0"/>
            </w:tcBorders>
            <w:vAlign w:val="center"/>
          </w:tcPr>
          <w:p w14:paraId="1909284B">
            <w:pPr>
              <w:jc w:val="center"/>
              <w:rPr>
                <w:rFonts w:hint="default" w:ascii="Times New Roman" w:hAnsi="Times New Roman" w:eastAsia="方正黑体_GBK" w:cs="Times New Roman"/>
                <w:b w:val="0"/>
                <w:bCs w:val="0"/>
                <w:color w:val="auto"/>
                <w:kern w:val="0"/>
                <w:sz w:val="21"/>
                <w:szCs w:val="21"/>
                <w:lang w:val="en-US" w:eastAsia="zh-CN"/>
              </w:rPr>
            </w:pPr>
            <w:r>
              <w:rPr>
                <w:rFonts w:hint="default" w:ascii="Times New Roman" w:hAnsi="Times New Roman" w:eastAsia="方正黑体_GBK" w:cs="Times New Roman"/>
                <w:b w:val="0"/>
                <w:bCs w:val="0"/>
                <w:color w:val="auto"/>
                <w:kern w:val="0"/>
                <w:sz w:val="21"/>
                <w:szCs w:val="21"/>
              </w:rPr>
              <w:t>成交供应商数量</w:t>
            </w:r>
            <w:r>
              <w:rPr>
                <w:rFonts w:hint="default" w:ascii="Times New Roman" w:hAnsi="Times New Roman" w:eastAsia="方正黑体_GBK" w:cs="Times New Roman"/>
                <w:b w:val="0"/>
                <w:bCs w:val="0"/>
                <w:color w:val="auto"/>
                <w:kern w:val="0"/>
                <w:sz w:val="21"/>
                <w:szCs w:val="21"/>
                <w:lang w:eastAsia="zh-CN"/>
              </w:rPr>
              <w:t>（个）</w:t>
            </w:r>
          </w:p>
        </w:tc>
      </w:tr>
      <w:tr w14:paraId="5D79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4250" w:type="dxa"/>
            <w:tcBorders>
              <w:top w:val="single" w:color="auto" w:sz="4" w:space="0"/>
              <w:left w:val="single" w:color="auto" w:sz="4" w:space="0"/>
              <w:bottom w:val="single" w:color="auto" w:sz="4" w:space="0"/>
              <w:right w:val="single" w:color="auto" w:sz="4" w:space="0"/>
            </w:tcBorders>
            <w:vAlign w:val="center"/>
          </w:tcPr>
          <w:p w14:paraId="2C3BE254">
            <w:pPr>
              <w:jc w:val="center"/>
              <w:rPr>
                <w:rFonts w:hint="default" w:ascii="Times New Roman" w:hAnsi="Times New Roman" w:cs="Times New Roman"/>
                <w:color w:val="auto"/>
                <w:sz w:val="21"/>
                <w:szCs w:val="21"/>
                <w:lang w:eastAsia="zh-CN"/>
              </w:rPr>
            </w:pPr>
            <w:bookmarkStart w:id="8" w:name="_Hlk344477914"/>
            <w:r>
              <w:rPr>
                <w:rFonts w:hint="default" w:ascii="Times New Roman" w:hAnsi="Times New Roman" w:eastAsia="仿宋" w:cs="Times New Roman"/>
                <w:b w:val="0"/>
                <w:bCs w:val="0"/>
                <w:kern w:val="0"/>
                <w:sz w:val="24"/>
                <w:szCs w:val="24"/>
                <w:lang w:eastAsia="zh-CN"/>
              </w:rPr>
              <w:t>重庆市红十字会医院</w:t>
            </w:r>
            <w:r>
              <w:rPr>
                <w:rFonts w:hint="default" w:ascii="Times New Roman" w:hAnsi="Times New Roman" w:eastAsia="仿宋" w:cs="Times New Roman"/>
                <w:b w:val="0"/>
                <w:bCs w:val="0"/>
                <w:kern w:val="0"/>
                <w:sz w:val="24"/>
                <w:szCs w:val="24"/>
                <w:lang w:val="en-US" w:eastAsia="zh-CN"/>
              </w:rPr>
              <w:t>五里店院区</w:t>
            </w:r>
            <w:r>
              <w:rPr>
                <w:rFonts w:hint="default" w:ascii="Times New Roman" w:hAnsi="Times New Roman" w:eastAsia="仿宋" w:cs="Times New Roman"/>
                <w:b w:val="0"/>
                <w:bCs w:val="0"/>
                <w:kern w:val="0"/>
                <w:sz w:val="24"/>
                <w:szCs w:val="24"/>
                <w:lang w:eastAsia="zh-CN"/>
              </w:rPr>
              <w:t>住院患者陪护服务</w:t>
            </w:r>
          </w:p>
        </w:tc>
        <w:tc>
          <w:tcPr>
            <w:tcW w:w="1742" w:type="dxa"/>
            <w:tcBorders>
              <w:top w:val="single" w:color="auto" w:sz="4" w:space="0"/>
              <w:left w:val="single" w:color="auto" w:sz="4" w:space="0"/>
              <w:bottom w:val="single" w:color="auto" w:sz="4" w:space="0"/>
              <w:right w:val="single" w:color="auto" w:sz="4" w:space="0"/>
            </w:tcBorders>
            <w:vAlign w:val="center"/>
          </w:tcPr>
          <w:p w14:paraId="239675BC">
            <w:pPr>
              <w:jc w:val="center"/>
              <w:rPr>
                <w:rFonts w:hint="default" w:ascii="Times New Roman" w:hAnsi="Times New Roman" w:cs="Times New Roman"/>
                <w:color w:val="auto"/>
                <w:sz w:val="21"/>
                <w:szCs w:val="21"/>
                <w:highlight w:val="none"/>
                <w:lang w:val="en-US" w:eastAsia="zh-CN"/>
              </w:rPr>
            </w:pPr>
            <w:r>
              <w:rPr>
                <w:rFonts w:hint="default" w:ascii="Times New Roman" w:hAnsi="Times New Roman" w:eastAsia="仿宋" w:cs="Times New Roman"/>
                <w:b w:val="0"/>
                <w:bCs w:val="0"/>
                <w:sz w:val="24"/>
                <w:szCs w:val="24"/>
                <w:lang w:val="en-US" w:eastAsia="zh-CN"/>
              </w:rPr>
              <w:t>1项</w:t>
            </w:r>
          </w:p>
        </w:tc>
        <w:tc>
          <w:tcPr>
            <w:tcW w:w="2200" w:type="dxa"/>
            <w:tcBorders>
              <w:top w:val="single" w:color="auto" w:sz="4" w:space="0"/>
              <w:left w:val="single" w:color="auto" w:sz="4" w:space="0"/>
              <w:bottom w:val="single" w:color="auto" w:sz="4" w:space="0"/>
              <w:right w:val="single" w:color="auto" w:sz="4" w:space="0"/>
            </w:tcBorders>
            <w:vAlign w:val="center"/>
          </w:tcPr>
          <w:p w14:paraId="41F13CCC">
            <w:pPr>
              <w:jc w:val="center"/>
              <w:rPr>
                <w:rFonts w:hint="default" w:ascii="Times New Roman" w:hAnsi="Times New Roman" w:cs="Times New Roman"/>
                <w:color w:val="auto"/>
                <w:sz w:val="21"/>
                <w:szCs w:val="21"/>
                <w:lang w:val="en-US" w:eastAsia="zh-CN"/>
              </w:rPr>
            </w:pPr>
            <w:r>
              <w:rPr>
                <w:rFonts w:hint="default" w:ascii="Times New Roman" w:hAnsi="Times New Roman" w:eastAsia="仿宋" w:cs="Times New Roman"/>
                <w:b w:val="0"/>
                <w:bCs w:val="0"/>
                <w:kern w:val="0"/>
                <w:sz w:val="24"/>
                <w:szCs w:val="24"/>
              </w:rPr>
              <w:t>1</w:t>
            </w:r>
          </w:p>
        </w:tc>
      </w:tr>
      <w:bookmarkEnd w:id="8"/>
    </w:tbl>
    <w:p w14:paraId="725899DA">
      <w:pPr>
        <w:pStyle w:val="15"/>
        <w:bidi w:val="0"/>
        <w:rPr>
          <w:rFonts w:hint="default" w:ascii="Times New Roman" w:hAnsi="Times New Roman" w:cs="Times New Roman"/>
          <w:color w:val="auto"/>
        </w:rPr>
      </w:pPr>
      <w:bookmarkStart w:id="9" w:name="_Toc3005"/>
      <w:bookmarkStart w:id="10" w:name="_Toc14941"/>
      <w:bookmarkStart w:id="11" w:name="_Toc13356"/>
      <w:bookmarkStart w:id="12" w:name="_Toc373860293"/>
      <w:bookmarkStart w:id="13" w:name="_Toc317775178"/>
      <w:bookmarkStart w:id="14" w:name="_Toc2620"/>
      <w:r>
        <w:rPr>
          <w:rFonts w:hint="default" w:ascii="Times New Roman" w:hAnsi="Times New Roman" w:cs="Times New Roman"/>
          <w:color w:val="auto"/>
        </w:rPr>
        <w:t>二、资金来源</w:t>
      </w:r>
      <w:bookmarkEnd w:id="9"/>
    </w:p>
    <w:p w14:paraId="4F833F2D">
      <w:pPr>
        <w:pStyle w:val="14"/>
        <w:pageBreakBefore w:val="0"/>
        <w:widowControl w:val="0"/>
        <w:kinsoku/>
        <w:wordWrap/>
        <w:overflowPunct/>
        <w:topLinePunct w:val="0"/>
        <w:autoSpaceDE/>
        <w:autoSpaceDN/>
        <w:bidi w:val="0"/>
        <w:snapToGrid w:val="0"/>
        <w:spacing w:line="480" w:lineRule="exact"/>
        <w:textAlignment w:val="auto"/>
        <w:rPr>
          <w:rFonts w:hint="default" w:ascii="Times New Roman" w:hAnsi="Times New Roman" w:cs="Times New Roman"/>
          <w:color w:val="auto"/>
          <w:highlight w:val="none"/>
          <w:lang w:val="en-US" w:eastAsia="zh-CN"/>
        </w:rPr>
      </w:pPr>
      <w:bookmarkStart w:id="15" w:name="_Toc13019"/>
      <w:r>
        <w:rPr>
          <w:rFonts w:hint="default" w:ascii="Times New Roman" w:hAnsi="Times New Roman" w:cs="Times New Roman"/>
          <w:color w:val="auto"/>
          <w:highlight w:val="none"/>
          <w:lang w:val="en-US" w:eastAsia="zh-CN"/>
        </w:rPr>
        <w:t>供应商在本项目中取得的报酬来源于接受陪护服务的患者或家属，采购人不支付任何费用。</w:t>
      </w:r>
    </w:p>
    <w:bookmarkEnd w:id="15"/>
    <w:p w14:paraId="4A7BF7FD">
      <w:pPr>
        <w:pStyle w:val="15"/>
        <w:numPr>
          <w:ilvl w:val="0"/>
          <w:numId w:val="1"/>
        </w:numPr>
        <w:bidi w:val="0"/>
        <w:rPr>
          <w:rFonts w:hint="default" w:ascii="Times New Roman" w:hAnsi="Times New Roman" w:cs="Times New Roman"/>
          <w:color w:val="auto"/>
        </w:rPr>
      </w:pPr>
      <w:r>
        <w:rPr>
          <w:rFonts w:hint="default" w:ascii="Times New Roman" w:hAnsi="Times New Roman" w:eastAsia="方正黑体_GBK" w:cs="Times New Roman"/>
          <w:color w:val="auto"/>
          <w:sz w:val="24"/>
          <w:szCs w:val="24"/>
          <w:lang w:eastAsia="zh-CN"/>
        </w:rPr>
        <w:t>供应商资格条件</w:t>
      </w:r>
    </w:p>
    <w:p w14:paraId="4DFDB493">
      <w:pPr>
        <w:keepNext w:val="0"/>
        <w:keepLines w:val="0"/>
        <w:pageBreakBefore w:val="0"/>
        <w:numPr>
          <w:ilvl w:val="0"/>
          <w:numId w:val="0"/>
        </w:numPr>
        <w:kinsoku/>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rPr>
      </w:pPr>
      <w:bookmarkStart w:id="16" w:name="OLE_LINK4"/>
      <w:r>
        <w:rPr>
          <w:rFonts w:hint="default" w:ascii="Times New Roman" w:hAnsi="Times New Roman" w:eastAsia="方正仿宋_GBK" w:cs="Times New Roman"/>
          <w:color w:val="auto"/>
          <w:sz w:val="24"/>
          <w:szCs w:val="24"/>
          <w:lang w:eastAsia="zh-CN"/>
        </w:rPr>
        <w:t>合格供应商应首先符合政府采购法第二十二条规定的基本条件，同时符合根据该项目特殊要求设置的特定资格条件</w:t>
      </w:r>
      <w:r>
        <w:rPr>
          <w:rFonts w:hint="default" w:ascii="Times New Roman" w:hAnsi="Times New Roman" w:eastAsia="方正仿宋_GBK" w:cs="Times New Roman"/>
          <w:color w:val="auto"/>
          <w:sz w:val="24"/>
          <w:szCs w:val="24"/>
          <w:highlight w:val="none"/>
          <w:lang w:eastAsia="zh-CN"/>
        </w:rPr>
        <w:t>。</w:t>
      </w:r>
    </w:p>
    <w:p w14:paraId="28CF5504">
      <w:pPr>
        <w:pStyle w:val="14"/>
        <w:bidi w:val="0"/>
        <w:rPr>
          <w:rFonts w:hint="default" w:ascii="Times New Roman" w:hAnsi="Times New Roman" w:cs="Times New Roman"/>
          <w:color w:val="auto"/>
        </w:rPr>
      </w:pPr>
      <w:r>
        <w:rPr>
          <w:rFonts w:hint="default" w:ascii="Times New Roman" w:hAnsi="Times New Roman" w:cs="Times New Roman"/>
          <w:color w:val="auto"/>
        </w:rPr>
        <w:t>（一）</w:t>
      </w:r>
      <w:r>
        <w:rPr>
          <w:rFonts w:hint="default" w:ascii="Times New Roman" w:hAnsi="Times New Roman" w:cs="Times New Roman"/>
          <w:color w:val="auto"/>
          <w:lang w:eastAsia="zh-CN"/>
        </w:rPr>
        <w:t>基本</w:t>
      </w:r>
      <w:r>
        <w:rPr>
          <w:rFonts w:hint="default" w:ascii="Times New Roman" w:hAnsi="Times New Roman" w:cs="Times New Roman"/>
          <w:color w:val="auto"/>
        </w:rPr>
        <w:t>资格条件</w:t>
      </w:r>
    </w:p>
    <w:p w14:paraId="5A20338D">
      <w:pPr>
        <w:pStyle w:val="14"/>
        <w:bidi w:val="0"/>
        <w:rPr>
          <w:rFonts w:hint="default" w:ascii="Times New Roman" w:hAnsi="Times New Roman" w:cs="Times New Roman"/>
          <w:color w:val="auto"/>
        </w:rPr>
      </w:pPr>
      <w:r>
        <w:rPr>
          <w:rFonts w:hint="default" w:ascii="Times New Roman" w:hAnsi="Times New Roman" w:cs="Times New Roman"/>
          <w:color w:val="auto"/>
        </w:rPr>
        <w:t>1.具有独立承担民事责任的能力；</w:t>
      </w:r>
    </w:p>
    <w:p w14:paraId="7FAC01B3">
      <w:pPr>
        <w:pStyle w:val="14"/>
        <w:bidi w:val="0"/>
        <w:rPr>
          <w:rFonts w:hint="default" w:ascii="Times New Roman" w:hAnsi="Times New Roman" w:cs="Times New Roman"/>
          <w:color w:val="auto"/>
        </w:rPr>
      </w:pPr>
      <w:r>
        <w:rPr>
          <w:rFonts w:hint="default" w:ascii="Times New Roman" w:hAnsi="Times New Roman" w:cs="Times New Roman"/>
          <w:color w:val="auto"/>
        </w:rPr>
        <w:t>2.具有良好的商业信誉和健全的财务会计制度；</w:t>
      </w:r>
    </w:p>
    <w:p w14:paraId="04FC7AF5">
      <w:pPr>
        <w:pStyle w:val="14"/>
        <w:bidi w:val="0"/>
        <w:rPr>
          <w:rFonts w:hint="default" w:ascii="Times New Roman" w:hAnsi="Times New Roman" w:cs="Times New Roman"/>
          <w:color w:val="auto"/>
        </w:rPr>
      </w:pPr>
      <w:r>
        <w:rPr>
          <w:rFonts w:hint="default" w:ascii="Times New Roman" w:hAnsi="Times New Roman" w:cs="Times New Roman"/>
          <w:color w:val="auto"/>
        </w:rPr>
        <w:t>3.具有履行合同所必需的设备和专业技术能力；</w:t>
      </w:r>
    </w:p>
    <w:p w14:paraId="7ADB1B45">
      <w:pPr>
        <w:pStyle w:val="14"/>
        <w:bidi w:val="0"/>
        <w:rPr>
          <w:rFonts w:hint="default" w:ascii="Times New Roman" w:hAnsi="Times New Roman" w:cs="Times New Roman"/>
          <w:color w:val="auto"/>
        </w:rPr>
      </w:pPr>
      <w:r>
        <w:rPr>
          <w:rFonts w:hint="default" w:ascii="Times New Roman" w:hAnsi="Times New Roman" w:cs="Times New Roman"/>
          <w:color w:val="auto"/>
        </w:rPr>
        <w:t>4.有依法缴纳税收和社会保障资金的良好记录；</w:t>
      </w:r>
    </w:p>
    <w:p w14:paraId="5354F8C2">
      <w:pPr>
        <w:pStyle w:val="14"/>
        <w:bidi w:val="0"/>
        <w:rPr>
          <w:rFonts w:hint="default" w:ascii="Times New Roman" w:hAnsi="Times New Roman" w:cs="Times New Roman"/>
          <w:color w:val="auto"/>
          <w:lang w:eastAsia="zh-CN"/>
        </w:rPr>
      </w:pPr>
      <w:r>
        <w:rPr>
          <w:rFonts w:hint="default" w:ascii="Times New Roman" w:hAnsi="Times New Roman" w:cs="Times New Roman"/>
          <w:color w:val="auto"/>
        </w:rPr>
        <w:t>5.参加采购活动前三年内，在经营活动中没有重大违法记录</w:t>
      </w:r>
      <w:r>
        <w:rPr>
          <w:rFonts w:hint="default" w:ascii="Times New Roman" w:hAnsi="Times New Roman" w:cs="Times New Roman"/>
          <w:color w:val="auto"/>
          <w:lang w:eastAsia="zh-CN"/>
        </w:rPr>
        <w:t>；</w:t>
      </w:r>
    </w:p>
    <w:p w14:paraId="47E84330">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6.法律、行政法规规定的其他条件。</w:t>
      </w:r>
    </w:p>
    <w:p w14:paraId="686F2CB7">
      <w:pPr>
        <w:pStyle w:val="14"/>
        <w:bidi w:val="0"/>
        <w:rPr>
          <w:rFonts w:hint="default" w:ascii="Times New Roman" w:hAnsi="Times New Roman" w:cs="Times New Roman"/>
          <w:color w:val="auto"/>
        </w:rPr>
      </w:pPr>
      <w:r>
        <w:rPr>
          <w:rFonts w:hint="default" w:ascii="Times New Roman" w:hAnsi="Times New Roman" w:cs="Times New Roman"/>
          <w:color w:val="auto"/>
        </w:rPr>
        <w:t>（二）特定资格条件</w:t>
      </w:r>
    </w:p>
    <w:bookmarkEnd w:id="16"/>
    <w:p w14:paraId="2EF0F656">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无</w:t>
      </w:r>
    </w:p>
    <w:p w14:paraId="1B6B5638">
      <w:pPr>
        <w:pStyle w:val="15"/>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四、有关说明</w:t>
      </w:r>
    </w:p>
    <w:p w14:paraId="7A20307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（一）采购文件的获取：凡有意参加比选的供应商，请在重庆市红十字会医院官网https://www.cqshszhyy.cn/下载采购文件、</w:t>
      </w:r>
      <w:r>
        <w:rPr>
          <w:rFonts w:hint="default" w:ascii="Times New Roman" w:hAnsi="Times New Roman" w:cs="Times New Roman"/>
          <w:color w:val="auto"/>
          <w:highlight w:val="none"/>
          <w:lang w:val="en-US" w:eastAsia="zh-CN"/>
        </w:rPr>
        <w:t>澄清等</w:t>
      </w:r>
      <w:r>
        <w:rPr>
          <w:rFonts w:hint="default" w:ascii="Times New Roman" w:hAnsi="Times New Roman" w:cs="Times New Roman"/>
          <w:color w:val="auto"/>
          <w:lang w:val="en-US" w:eastAsia="zh-CN"/>
        </w:rPr>
        <w:t>报价前公布的所有项目资料，无论供应商下载或领取与否，均视为已知晓所有实质性要求内容。</w:t>
      </w:r>
    </w:p>
    <w:p w14:paraId="17882B7C">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（二）采购文件公告期限：自采购公告发布之日起五个工作日。</w:t>
      </w:r>
    </w:p>
    <w:p w14:paraId="3F936F9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（三）采购文件提供期限及售价：</w:t>
      </w:r>
    </w:p>
    <w:p w14:paraId="12B68B9D">
      <w:pPr>
        <w:pStyle w:val="14"/>
        <w:bidi w:val="0"/>
        <w:ind w:left="0" w:leftChars="0" w:firstLine="480" w:firstLineChars="2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1.采购文件提供期限：同采购文件公告期限</w:t>
      </w:r>
      <w:r>
        <w:rPr>
          <w:rFonts w:hint="eastAsia" w:ascii="Times New Roman" w:hAnsi="Times New Roman" w:cs="Times New Roman"/>
          <w:color w:val="auto"/>
          <w:lang w:val="en-US" w:eastAsia="zh-CN"/>
        </w:rPr>
        <w:t>；</w:t>
      </w:r>
    </w:p>
    <w:p w14:paraId="6BC7FE82">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2.采购文件售价：人民币0.00元/包。</w:t>
      </w:r>
    </w:p>
    <w:p w14:paraId="51574287">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（四）递交响应文件地点：重庆市红十字会医院2号楼1层眼科会议室。</w:t>
      </w:r>
    </w:p>
    <w:p w14:paraId="51FE4B06">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lang w:val="en-US" w:eastAsia="zh-CN"/>
        </w:rPr>
        <w:t>（五）递交响应文件开始及截止时间</w:t>
      </w:r>
      <w:r>
        <w:rPr>
          <w:rFonts w:hint="default" w:ascii="Times New Roman" w:hAnsi="Times New Roman" w:cs="Times New Roman"/>
          <w:color w:val="auto"/>
          <w:highlight w:val="none"/>
          <w:lang w:val="en-US" w:eastAsia="zh-CN"/>
        </w:rPr>
        <w:t>：2026年8月25日北京时间8:30-8:50（其他时间不接受任何形式的送达）。</w:t>
      </w:r>
    </w:p>
    <w:p w14:paraId="0E678C18">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（六）评审时间：2026年8月25日 北京时间9:00，迟到者视为自动放弃投标。</w:t>
      </w:r>
    </w:p>
    <w:p w14:paraId="4383544E">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（七）评审地点：同递交响应文件地点。</w:t>
      </w:r>
    </w:p>
    <w:p w14:paraId="7F73CF68">
      <w:pPr>
        <w:pStyle w:val="15"/>
        <w:bidi w:val="0"/>
        <w:rPr>
          <w:rFonts w:hint="default" w:ascii="Times New Roman" w:hAnsi="Times New Roman" w:cs="Times New Roman"/>
          <w:color w:val="auto"/>
          <w:lang w:val="en-US" w:eastAsia="zh-CN"/>
        </w:rPr>
      </w:pPr>
      <w:bookmarkStart w:id="17" w:name="_Toc31810"/>
      <w:bookmarkStart w:id="18" w:name="_Toc21862"/>
      <w:bookmarkStart w:id="19" w:name="_Toc31639"/>
      <w:bookmarkStart w:id="20" w:name="_Toc527828387"/>
      <w:bookmarkStart w:id="21" w:name="_Toc517368027"/>
      <w:bookmarkStart w:id="22" w:name="_Toc13490"/>
      <w:bookmarkStart w:id="23" w:name="_Toc8132"/>
      <w:bookmarkStart w:id="24" w:name="_Toc517367960"/>
      <w:bookmarkStart w:id="25" w:name="_Toc6933"/>
      <w:bookmarkStart w:id="26" w:name="_Toc22978"/>
      <w:r>
        <w:rPr>
          <w:rFonts w:hint="default" w:ascii="Times New Roman" w:hAnsi="Times New Roman" w:cs="Times New Roman"/>
          <w:color w:val="auto"/>
          <w:lang w:val="en-US" w:eastAsia="zh-CN"/>
        </w:rPr>
        <w:t>五</w:t>
      </w:r>
      <w:r>
        <w:rPr>
          <w:rFonts w:hint="default" w:ascii="Times New Roman" w:hAnsi="Times New Roman" w:cs="Times New Roman"/>
          <w:color w:val="auto"/>
        </w:rPr>
        <w:t>、</w:t>
      </w:r>
      <w:bookmarkEnd w:id="17"/>
      <w:bookmarkEnd w:id="18"/>
      <w:bookmarkEnd w:id="19"/>
      <w:bookmarkEnd w:id="20"/>
      <w:bookmarkEnd w:id="21"/>
      <w:bookmarkEnd w:id="22"/>
      <w:bookmarkEnd w:id="23"/>
      <w:bookmarkEnd w:id="24"/>
      <w:bookmarkEnd w:id="25"/>
      <w:bookmarkEnd w:id="26"/>
      <w:r>
        <w:rPr>
          <w:rFonts w:hint="default" w:ascii="Times New Roman" w:hAnsi="Times New Roman" w:cs="Times New Roman"/>
          <w:color w:val="auto"/>
          <w:lang w:val="en-US" w:eastAsia="zh-CN"/>
        </w:rPr>
        <w:t>供应商须知</w:t>
      </w:r>
    </w:p>
    <w:p w14:paraId="6A664ACF">
      <w:pPr>
        <w:pStyle w:val="1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一</w:t>
      </w:r>
      <w:r>
        <w:rPr>
          <w:rFonts w:hint="default" w:ascii="Times New Roman" w:hAnsi="Times New Roman" w:cs="Times New Roman"/>
          <w:color w:val="auto"/>
          <w:lang w:eastAsia="zh-CN"/>
        </w:rPr>
        <w:t>）供应商应当按照</w:t>
      </w:r>
      <w:r>
        <w:rPr>
          <w:rFonts w:hint="default" w:ascii="Times New Roman" w:hAnsi="Times New Roman" w:cs="Times New Roman"/>
          <w:color w:val="auto"/>
          <w:lang w:val="en-US" w:eastAsia="zh-CN"/>
        </w:rPr>
        <w:t>采购文件</w:t>
      </w:r>
      <w:r>
        <w:rPr>
          <w:rFonts w:hint="eastAsia" w:ascii="Times New Roman" w:hAnsi="Times New Roman" w:cs="Times New Roman"/>
          <w:color w:val="auto"/>
          <w:lang w:eastAsia="zh-CN"/>
        </w:rPr>
        <w:t>“</w:t>
      </w:r>
      <w:r>
        <w:rPr>
          <w:rFonts w:hint="default" w:ascii="Times New Roman" w:hAnsi="Times New Roman" w:cs="Times New Roman"/>
          <w:color w:val="auto"/>
          <w:lang w:eastAsia="zh-CN"/>
        </w:rPr>
        <w:t>响应文件格式要求</w:t>
      </w:r>
      <w:r>
        <w:rPr>
          <w:rFonts w:hint="eastAsia" w:ascii="Times New Roman" w:hAnsi="Times New Roman" w:cs="Times New Roman"/>
          <w:color w:val="auto"/>
          <w:lang w:eastAsia="zh-CN"/>
        </w:rPr>
        <w:t>”</w:t>
      </w:r>
      <w:r>
        <w:rPr>
          <w:rFonts w:hint="default" w:ascii="Times New Roman" w:hAnsi="Times New Roman" w:cs="Times New Roman"/>
          <w:color w:val="auto"/>
          <w:lang w:val="en-US" w:eastAsia="zh-CN"/>
        </w:rPr>
        <w:t>的规定</w:t>
      </w:r>
      <w:r>
        <w:rPr>
          <w:rFonts w:hint="default" w:ascii="Times New Roman" w:hAnsi="Times New Roman" w:cs="Times New Roman"/>
          <w:color w:val="auto"/>
          <w:lang w:eastAsia="zh-CN"/>
        </w:rPr>
        <w:t>编制响应文件，并对</w:t>
      </w:r>
      <w:r>
        <w:rPr>
          <w:rFonts w:hint="default" w:ascii="Times New Roman" w:hAnsi="Times New Roman" w:cs="Times New Roman"/>
          <w:color w:val="auto"/>
          <w:lang w:val="en-US" w:eastAsia="zh-CN"/>
        </w:rPr>
        <w:t>文件中</w:t>
      </w:r>
      <w:r>
        <w:rPr>
          <w:rFonts w:hint="default" w:ascii="Times New Roman" w:hAnsi="Times New Roman" w:cs="Times New Roman"/>
          <w:color w:val="auto"/>
          <w:lang w:eastAsia="zh-CN"/>
        </w:rPr>
        <w:t>提出的要求和条件做出实质性响应。</w:t>
      </w:r>
    </w:p>
    <w:p w14:paraId="0F712B67">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二</w:t>
      </w:r>
      <w:r>
        <w:rPr>
          <w:rFonts w:hint="default" w:ascii="Times New Roman" w:hAnsi="Times New Roman" w:cs="Times New Roman"/>
          <w:color w:val="auto"/>
          <w:lang w:eastAsia="zh-CN"/>
        </w:rPr>
        <w:t>）响应文件一式两份，其中正、副本各一份（注：封面应注明项目名称、供应商名称、联系人及电话），</w:t>
      </w:r>
      <w:r>
        <w:rPr>
          <w:rFonts w:hint="default" w:ascii="Times New Roman" w:hAnsi="Times New Roman" w:cs="Times New Roman"/>
          <w:color w:val="auto"/>
          <w:lang w:val="en-US" w:eastAsia="zh-CN"/>
        </w:rPr>
        <w:t>响应文件需密封。</w:t>
      </w:r>
    </w:p>
    <w:p w14:paraId="4A68B528">
      <w:pPr>
        <w:pStyle w:val="1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三</w:t>
      </w:r>
      <w:r>
        <w:rPr>
          <w:rFonts w:hint="default" w:ascii="Times New Roman" w:hAnsi="Times New Roman" w:cs="Times New Roman"/>
          <w:color w:val="auto"/>
          <w:lang w:eastAsia="zh-CN"/>
        </w:rPr>
        <w:t>）在响应文件正本中，</w:t>
      </w:r>
      <w:r>
        <w:rPr>
          <w:rFonts w:hint="default" w:ascii="Times New Roman" w:hAnsi="Times New Roman" w:cs="Times New Roman"/>
          <w:color w:val="auto"/>
          <w:lang w:val="en-US" w:eastAsia="zh-CN"/>
        </w:rPr>
        <w:t>采购</w:t>
      </w:r>
      <w:r>
        <w:rPr>
          <w:rFonts w:hint="default" w:ascii="Times New Roman" w:hAnsi="Times New Roman" w:cs="Times New Roman"/>
          <w:color w:val="auto"/>
          <w:lang w:eastAsia="zh-CN"/>
        </w:rPr>
        <w:t>文件</w:t>
      </w:r>
      <w:r>
        <w:rPr>
          <w:rFonts w:hint="eastAsia" w:ascii="Times New Roman" w:hAnsi="Times New Roman" w:cs="Times New Roman"/>
          <w:color w:val="auto"/>
          <w:lang w:eastAsia="zh-CN"/>
        </w:rPr>
        <w:t>“</w:t>
      </w:r>
      <w:r>
        <w:rPr>
          <w:rFonts w:hint="default" w:ascii="Times New Roman" w:hAnsi="Times New Roman" w:cs="Times New Roman"/>
          <w:color w:val="auto"/>
          <w:lang w:eastAsia="zh-CN"/>
        </w:rPr>
        <w:t>响应文件格式要求</w:t>
      </w:r>
      <w:r>
        <w:rPr>
          <w:rFonts w:hint="eastAsia" w:ascii="Times New Roman" w:hAnsi="Times New Roman" w:cs="Times New Roman"/>
          <w:color w:val="auto"/>
          <w:lang w:eastAsia="zh-CN"/>
        </w:rPr>
        <w:t>”</w:t>
      </w:r>
      <w:r>
        <w:rPr>
          <w:rFonts w:hint="default" w:ascii="Times New Roman" w:hAnsi="Times New Roman" w:cs="Times New Roman"/>
          <w:color w:val="auto"/>
          <w:lang w:eastAsia="zh-CN"/>
        </w:rPr>
        <w:t>中规定签署、盖章的地方必须按其规定签署、盖章。</w:t>
      </w:r>
    </w:p>
    <w:p w14:paraId="0AEC9C4F">
      <w:pPr>
        <w:pStyle w:val="1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四</w:t>
      </w:r>
      <w:r>
        <w:rPr>
          <w:rFonts w:hint="default" w:ascii="Times New Roman" w:hAnsi="Times New Roman" w:cs="Times New Roman"/>
          <w:color w:val="auto"/>
          <w:lang w:eastAsia="zh-CN"/>
        </w:rPr>
        <w:t>）若供应商对响应文件的错处作必要修改，则应在修改处加盖供应商公章或由法定代表人（或其授权代表）签署确认。</w:t>
      </w:r>
    </w:p>
    <w:p w14:paraId="77847A87">
      <w:pPr>
        <w:pStyle w:val="14"/>
        <w:bidi w:val="0"/>
        <w:rPr>
          <w:rFonts w:hint="default" w:ascii="Times New Roman" w:hAnsi="Times New Roman" w:cs="Times New Roman"/>
          <w:color w:val="auto"/>
          <w:lang w:eastAsia="zh-CN"/>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五</w:t>
      </w:r>
      <w:r>
        <w:rPr>
          <w:rFonts w:hint="default" w:ascii="Times New Roman" w:hAnsi="Times New Roman" w:cs="Times New Roman"/>
          <w:color w:val="auto"/>
          <w:lang w:eastAsia="zh-CN"/>
        </w:rPr>
        <w:t>）电报、电话、传真、</w:t>
      </w:r>
      <w:r>
        <w:rPr>
          <w:rFonts w:hint="default" w:ascii="Times New Roman" w:hAnsi="Times New Roman" w:cs="Times New Roman"/>
          <w:color w:val="auto"/>
          <w:lang w:val="en-US" w:eastAsia="zh-CN"/>
        </w:rPr>
        <w:t>邮寄</w:t>
      </w:r>
      <w:r>
        <w:rPr>
          <w:rFonts w:hint="default" w:ascii="Times New Roman" w:hAnsi="Times New Roman" w:cs="Times New Roman"/>
          <w:color w:val="auto"/>
          <w:lang w:eastAsia="zh-CN"/>
        </w:rPr>
        <w:t>形式的响应文件概不接受。</w:t>
      </w:r>
    </w:p>
    <w:p w14:paraId="34EDEFF0">
      <w:pPr>
        <w:pStyle w:val="15"/>
        <w:bidi w:val="0"/>
        <w:rPr>
          <w:rFonts w:hint="default" w:ascii="Times New Roman" w:hAnsi="Times New Roman" w:cs="Times New Roman"/>
          <w:color w:val="auto"/>
        </w:rPr>
      </w:pPr>
      <w:bookmarkStart w:id="27" w:name="_Toc16951"/>
      <w:bookmarkStart w:id="28" w:name="_Toc517367961"/>
      <w:bookmarkStart w:id="29" w:name="_Toc24167"/>
      <w:bookmarkStart w:id="30" w:name="_Toc24060"/>
      <w:bookmarkStart w:id="31" w:name="_Toc2188"/>
      <w:bookmarkStart w:id="32" w:name="_Toc527828388"/>
      <w:bookmarkStart w:id="33" w:name="_Toc20734"/>
      <w:bookmarkStart w:id="34" w:name="_Toc517368028"/>
      <w:bookmarkStart w:id="35" w:name="_Toc15317"/>
      <w:bookmarkStart w:id="36" w:name="_Toc1495"/>
      <w:r>
        <w:rPr>
          <w:rFonts w:hint="default" w:ascii="Times New Roman" w:hAnsi="Times New Roman" w:cs="Times New Roman"/>
          <w:color w:val="auto"/>
          <w:lang w:val="en-US" w:eastAsia="zh-CN"/>
        </w:rPr>
        <w:t>六</w:t>
      </w:r>
      <w:r>
        <w:rPr>
          <w:rFonts w:hint="default" w:ascii="Times New Roman" w:hAnsi="Times New Roman" w:cs="Times New Roman"/>
          <w:color w:val="auto"/>
        </w:rPr>
        <w:t>、</w:t>
      </w:r>
      <w:bookmarkEnd w:id="27"/>
      <w:r>
        <w:rPr>
          <w:rFonts w:hint="default" w:ascii="Times New Roman" w:hAnsi="Times New Roman" w:cs="Times New Roman"/>
          <w:color w:val="auto"/>
        </w:rPr>
        <w:t>其它有关规定</w:t>
      </w:r>
    </w:p>
    <w:p w14:paraId="7A54747C">
      <w:pPr>
        <w:pStyle w:val="14"/>
        <w:bidi w:val="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一</w:t>
      </w:r>
      <w:r>
        <w:rPr>
          <w:rFonts w:hint="default" w:ascii="Times New Roman" w:hAnsi="Times New Roman" w:cs="Times New Roman"/>
          <w:color w:val="auto"/>
          <w:lang w:eastAsia="zh-CN"/>
        </w:rPr>
        <w:t>）</w:t>
      </w:r>
      <w:r>
        <w:rPr>
          <w:rFonts w:hint="default" w:ascii="Times New Roman" w:hAnsi="Times New Roman" w:cs="Times New Roman"/>
          <w:color w:val="auto"/>
        </w:rPr>
        <w:t>单位负责人为同一人或者存在直接控股、管理关系的不同供应商，不得参加同一合同项下的政府采购活动。</w:t>
      </w:r>
    </w:p>
    <w:p w14:paraId="1ED1F1A7">
      <w:pPr>
        <w:pStyle w:val="14"/>
        <w:bidi w:val="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二</w:t>
      </w:r>
      <w:r>
        <w:rPr>
          <w:rFonts w:hint="default" w:ascii="Times New Roman" w:hAnsi="Times New Roman" w:cs="Times New Roman"/>
          <w:color w:val="auto"/>
          <w:lang w:eastAsia="zh-CN"/>
        </w:rPr>
        <w:t>）</w:t>
      </w:r>
      <w:r>
        <w:rPr>
          <w:rFonts w:hint="default" w:ascii="Times New Roman" w:hAnsi="Times New Roman" w:cs="Times New Roman"/>
          <w:color w:val="auto"/>
        </w:rPr>
        <w:t>本项目的补遗文件（如果有）一律在</w:t>
      </w:r>
      <w:r>
        <w:rPr>
          <w:rFonts w:hint="default" w:ascii="Times New Roman" w:hAnsi="Times New Roman" w:cs="Times New Roman"/>
          <w:color w:val="auto"/>
          <w:lang w:val="en-US" w:eastAsia="zh-CN"/>
        </w:rPr>
        <w:t>重庆市红十字会医院官网https://www.cqshszhyy.cn/</w:t>
      </w:r>
      <w:r>
        <w:rPr>
          <w:rFonts w:hint="default" w:ascii="Times New Roman" w:hAnsi="Times New Roman" w:cs="Times New Roman"/>
          <w:color w:val="auto"/>
        </w:rPr>
        <w:t>上发布，请各供应商注意下载；无论供应商下载与否，均视同已知晓本项目补遗文件（如果有）的内容。</w:t>
      </w:r>
    </w:p>
    <w:p w14:paraId="2385ED38">
      <w:pPr>
        <w:pStyle w:val="14"/>
        <w:bidi w:val="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三</w:t>
      </w:r>
      <w:r>
        <w:rPr>
          <w:rFonts w:hint="default" w:ascii="Times New Roman" w:hAnsi="Times New Roman" w:cs="Times New Roman"/>
          <w:color w:val="auto"/>
          <w:lang w:eastAsia="zh-CN"/>
        </w:rPr>
        <w:t>）</w:t>
      </w:r>
      <w:r>
        <w:rPr>
          <w:rFonts w:hint="default" w:ascii="Times New Roman" w:hAnsi="Times New Roman" w:cs="Times New Roman"/>
          <w:color w:val="auto"/>
        </w:rPr>
        <w:t>超过递交截止时间递交的响应文件，恕不接收。</w:t>
      </w:r>
    </w:p>
    <w:p w14:paraId="41A54B19">
      <w:pPr>
        <w:pStyle w:val="14"/>
        <w:bidi w:val="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四</w:t>
      </w:r>
      <w:r>
        <w:rPr>
          <w:rFonts w:hint="default" w:ascii="Times New Roman" w:hAnsi="Times New Roman" w:cs="Times New Roman"/>
          <w:color w:val="auto"/>
          <w:lang w:eastAsia="zh-CN"/>
        </w:rPr>
        <w:t>）</w:t>
      </w:r>
      <w:r>
        <w:rPr>
          <w:rFonts w:hint="default" w:ascii="Times New Roman" w:hAnsi="Times New Roman" w:cs="Times New Roman"/>
          <w:color w:val="auto"/>
        </w:rPr>
        <w:t>本项目不接受联合体参与</w:t>
      </w:r>
      <w:r>
        <w:rPr>
          <w:rFonts w:hint="default" w:ascii="Times New Roman" w:hAnsi="Times New Roman" w:cs="Times New Roman"/>
          <w:color w:val="auto"/>
          <w:lang w:val="en-US" w:eastAsia="zh-CN"/>
        </w:rPr>
        <w:t>采购</w:t>
      </w:r>
      <w:r>
        <w:rPr>
          <w:rFonts w:hint="default" w:ascii="Times New Roman" w:hAnsi="Times New Roman" w:cs="Times New Roman"/>
          <w:color w:val="auto"/>
        </w:rPr>
        <w:t>。</w:t>
      </w:r>
    </w:p>
    <w:p w14:paraId="5E0F3955">
      <w:pPr>
        <w:pStyle w:val="14"/>
        <w:bidi w:val="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五</w:t>
      </w:r>
      <w:r>
        <w:rPr>
          <w:rFonts w:hint="default" w:ascii="Times New Roman" w:hAnsi="Times New Roman" w:cs="Times New Roman"/>
          <w:color w:val="auto"/>
          <w:lang w:eastAsia="zh-CN"/>
        </w:rPr>
        <w:t>）</w:t>
      </w:r>
      <w:r>
        <w:rPr>
          <w:rFonts w:hint="default" w:ascii="Times New Roman" w:hAnsi="Times New Roman" w:cs="Times New Roman"/>
          <w:color w:val="auto"/>
        </w:rPr>
        <w:t>本项目</w:t>
      </w:r>
      <w:r>
        <w:rPr>
          <w:rFonts w:hint="default" w:ascii="Times New Roman" w:hAnsi="Times New Roman" w:cs="Times New Roman"/>
          <w:color w:val="auto"/>
          <w:lang w:val="en-US" w:eastAsia="zh-CN"/>
        </w:rPr>
        <w:t>不</w:t>
      </w:r>
      <w:r>
        <w:rPr>
          <w:rFonts w:hint="default" w:ascii="Times New Roman" w:hAnsi="Times New Roman" w:cs="Times New Roman"/>
          <w:color w:val="auto"/>
          <w:lang w:eastAsia="zh-CN"/>
        </w:rPr>
        <w:t>进行分包</w:t>
      </w:r>
      <w:r>
        <w:rPr>
          <w:rFonts w:hint="default" w:ascii="Times New Roman" w:hAnsi="Times New Roman" w:cs="Times New Roman"/>
          <w:color w:val="auto"/>
          <w:lang w:val="en-US" w:eastAsia="zh-CN"/>
        </w:rPr>
        <w:t>采购</w:t>
      </w:r>
      <w:r>
        <w:rPr>
          <w:rFonts w:hint="default" w:ascii="Times New Roman" w:hAnsi="Times New Roman" w:cs="Times New Roman"/>
          <w:color w:val="auto"/>
        </w:rPr>
        <w:t>。</w:t>
      </w:r>
    </w:p>
    <w:p w14:paraId="5EA5C098">
      <w:pPr>
        <w:pStyle w:val="14"/>
        <w:bidi w:val="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六</w:t>
      </w:r>
      <w:r>
        <w:rPr>
          <w:rFonts w:hint="default" w:ascii="Times New Roman" w:hAnsi="Times New Roman" w:cs="Times New Roman"/>
          <w:color w:val="auto"/>
          <w:lang w:eastAsia="zh-CN"/>
        </w:rPr>
        <w:t>）</w:t>
      </w:r>
      <w:r>
        <w:rPr>
          <w:rFonts w:hint="default" w:ascii="Times New Roman" w:hAnsi="Times New Roman" w:cs="Times New Roman"/>
          <w:color w:val="auto"/>
        </w:rPr>
        <w:t>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政府采购活动。</w:t>
      </w:r>
    </w:p>
    <w:p w14:paraId="3D3D3823">
      <w:pPr>
        <w:pStyle w:val="14"/>
        <w:bidi w:val="0"/>
        <w:rPr>
          <w:rFonts w:hint="default" w:ascii="Times New Roman" w:hAnsi="Times New Roman" w:cs="Times New Roman"/>
          <w:color w:val="auto"/>
        </w:rPr>
      </w:pPr>
      <w:r>
        <w:rPr>
          <w:rFonts w:hint="default" w:ascii="Times New Roman" w:hAnsi="Times New Roman" w:cs="Times New Roman"/>
          <w:color w:val="auto"/>
        </w:rPr>
        <w:t>（</w:t>
      </w:r>
      <w:r>
        <w:rPr>
          <w:rFonts w:hint="default" w:ascii="Times New Roman" w:hAnsi="Times New Roman" w:cs="Times New Roman"/>
          <w:color w:val="auto"/>
          <w:lang w:val="en-US" w:eastAsia="zh-CN"/>
        </w:rPr>
        <w:t>七</w:t>
      </w:r>
      <w:r>
        <w:rPr>
          <w:rFonts w:hint="default" w:ascii="Times New Roman" w:hAnsi="Times New Roman" w:cs="Times New Roman"/>
          <w:color w:val="auto"/>
        </w:rPr>
        <w:t>）竞标费用：</w:t>
      </w:r>
      <w:r>
        <w:rPr>
          <w:rFonts w:hint="default" w:ascii="Times New Roman" w:hAnsi="Times New Roman" w:eastAsia="方正仿宋_GBK" w:cs="Times New Roman"/>
          <w:color w:val="auto"/>
          <w:sz w:val="24"/>
          <w:szCs w:val="24"/>
        </w:rPr>
        <w:t>无论</w:t>
      </w:r>
      <w:r>
        <w:rPr>
          <w:rFonts w:hint="default" w:ascii="Times New Roman" w:hAnsi="Times New Roman" w:eastAsia="方正仿宋_GBK" w:cs="Times New Roman"/>
          <w:color w:val="auto"/>
          <w:sz w:val="24"/>
          <w:szCs w:val="24"/>
          <w:lang w:eastAsia="zh-CN"/>
        </w:rPr>
        <w:t>磋商</w:t>
      </w:r>
      <w:r>
        <w:rPr>
          <w:rFonts w:hint="default" w:ascii="Times New Roman" w:hAnsi="Times New Roman" w:eastAsia="方正仿宋_GBK" w:cs="Times New Roman"/>
          <w:color w:val="auto"/>
          <w:sz w:val="24"/>
          <w:szCs w:val="24"/>
        </w:rPr>
        <w:t>结果如何，</w:t>
      </w:r>
      <w:r>
        <w:rPr>
          <w:rFonts w:hint="default" w:ascii="Times New Roman" w:hAnsi="Times New Roman" w:cs="Times New Roman"/>
          <w:color w:val="auto"/>
          <w:lang w:eastAsia="zh-CN"/>
        </w:rPr>
        <w:t>供应商</w:t>
      </w:r>
      <w:r>
        <w:rPr>
          <w:rFonts w:hint="default" w:ascii="Times New Roman" w:hAnsi="Times New Roman" w:cs="Times New Roman"/>
          <w:color w:val="auto"/>
        </w:rPr>
        <w:t>参与本项目</w:t>
      </w:r>
      <w:r>
        <w:rPr>
          <w:rFonts w:hint="default" w:ascii="Times New Roman" w:hAnsi="Times New Roman" w:cs="Times New Roman"/>
          <w:color w:val="auto"/>
          <w:lang w:eastAsia="zh-CN"/>
        </w:rPr>
        <w:t>磋商</w:t>
      </w:r>
      <w:r>
        <w:rPr>
          <w:rFonts w:hint="default" w:ascii="Times New Roman" w:hAnsi="Times New Roman" w:cs="Times New Roman"/>
          <w:color w:val="auto"/>
        </w:rPr>
        <w:t>的所有费用均由</w:t>
      </w:r>
      <w:r>
        <w:rPr>
          <w:rFonts w:hint="default" w:ascii="Times New Roman" w:hAnsi="Times New Roman" w:cs="Times New Roman"/>
          <w:color w:val="auto"/>
          <w:lang w:eastAsia="zh-CN"/>
        </w:rPr>
        <w:t>供应商</w:t>
      </w:r>
      <w:r>
        <w:rPr>
          <w:rFonts w:hint="default" w:ascii="Times New Roman" w:hAnsi="Times New Roman" w:cs="Times New Roman"/>
          <w:color w:val="auto"/>
        </w:rPr>
        <w:t>自行承担。</w:t>
      </w:r>
    </w:p>
    <w:bookmarkEnd w:id="28"/>
    <w:bookmarkEnd w:id="29"/>
    <w:bookmarkEnd w:id="30"/>
    <w:bookmarkEnd w:id="31"/>
    <w:bookmarkEnd w:id="32"/>
    <w:bookmarkEnd w:id="33"/>
    <w:bookmarkEnd w:id="34"/>
    <w:bookmarkEnd w:id="35"/>
    <w:bookmarkEnd w:id="36"/>
    <w:p w14:paraId="2468C2D1">
      <w:pPr>
        <w:snapToGrid w:val="0"/>
        <w:spacing w:line="400" w:lineRule="exact"/>
        <w:ind w:firstLine="482" w:firstLineChars="200"/>
        <w:rPr>
          <w:rFonts w:hint="default" w:ascii="Times New Roman" w:hAnsi="Times New Roman" w:eastAsia="仿宋" w:cs="Times New Roman"/>
          <w:b/>
          <w:bCs/>
          <w:color w:val="auto"/>
          <w:sz w:val="24"/>
          <w:szCs w:val="24"/>
          <w:highlight w:val="none"/>
        </w:rPr>
      </w:pPr>
      <w:bookmarkStart w:id="37" w:name="_Toc868"/>
      <w:r>
        <w:rPr>
          <w:rFonts w:hint="default" w:ascii="Times New Roman" w:hAnsi="Times New Roman" w:eastAsia="仿宋" w:cs="Times New Roman"/>
          <w:b/>
          <w:bCs/>
          <w:color w:val="auto"/>
          <w:sz w:val="24"/>
          <w:szCs w:val="24"/>
          <w:highlight w:val="none"/>
        </w:rPr>
        <w:t>七、联系方式</w:t>
      </w:r>
      <w:bookmarkEnd w:id="37"/>
    </w:p>
    <w:p w14:paraId="1790BB42">
      <w:pPr>
        <w:snapToGrid w:val="0"/>
        <w:spacing w:line="480" w:lineRule="exact"/>
        <w:ind w:firstLine="480" w:firstLineChars="200"/>
        <w:rPr>
          <w:rFonts w:hint="default"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rPr>
        <w:t>采购人：重庆市红十字会医院</w:t>
      </w:r>
    </w:p>
    <w:p w14:paraId="040748DD">
      <w:pPr>
        <w:snapToGrid w:val="0"/>
        <w:spacing w:line="480" w:lineRule="exact"/>
        <w:ind w:firstLine="480" w:firstLineChars="200"/>
        <w:rPr>
          <w:rFonts w:hint="default" w:ascii="Times New Roman" w:hAnsi="Times New Roman" w:eastAsia="方正仿宋_GBK" w:cs="Times New Roman"/>
          <w:color w:val="auto"/>
          <w:sz w:val="24"/>
          <w:szCs w:val="24"/>
          <w:highlight w:val="none"/>
          <w:lang w:val="en-US" w:eastAsia="zh-CN"/>
        </w:rPr>
      </w:pPr>
      <w:r>
        <w:rPr>
          <w:rFonts w:hint="default" w:ascii="Times New Roman" w:hAnsi="Times New Roman" w:eastAsia="方正仿宋_GBK" w:cs="Times New Roman"/>
          <w:color w:val="auto"/>
          <w:sz w:val="24"/>
          <w:szCs w:val="24"/>
        </w:rPr>
        <w:t>采购联系人：</w:t>
      </w:r>
      <w:r>
        <w:rPr>
          <w:rFonts w:hint="default" w:ascii="Times New Roman" w:hAnsi="Times New Roman" w:eastAsia="方正仿宋_GBK" w:cs="Times New Roman"/>
          <w:color w:val="auto"/>
          <w:sz w:val="24"/>
          <w:szCs w:val="24"/>
          <w:highlight w:val="none"/>
          <w:lang w:val="en-US" w:eastAsia="zh-CN"/>
        </w:rPr>
        <w:t>张</w:t>
      </w:r>
      <w:r>
        <w:rPr>
          <w:rFonts w:hint="default" w:ascii="Times New Roman" w:hAnsi="Times New Roman" w:eastAsia="方正仿宋_GBK" w:cs="Times New Roman"/>
          <w:color w:val="auto"/>
          <w:sz w:val="24"/>
          <w:szCs w:val="24"/>
          <w:highlight w:val="none"/>
        </w:rPr>
        <w:t>老师        电  话</w:t>
      </w:r>
      <w:r>
        <w:rPr>
          <w:rFonts w:hint="default" w:ascii="Times New Roman" w:hAnsi="Times New Roman" w:eastAsia="方正仿宋_GBK" w:cs="Times New Roman"/>
          <w:color w:val="auto"/>
          <w:sz w:val="24"/>
          <w:szCs w:val="24"/>
          <w:highlight w:val="none"/>
          <w:lang w:eastAsia="zh-CN"/>
        </w:rPr>
        <w:t>：</w:t>
      </w:r>
      <w:r>
        <w:rPr>
          <w:rFonts w:hint="default" w:ascii="Times New Roman" w:hAnsi="Times New Roman" w:eastAsia="方正仿宋_GBK" w:cs="Times New Roman"/>
          <w:color w:val="auto"/>
          <w:sz w:val="24"/>
          <w:szCs w:val="24"/>
          <w:highlight w:val="none"/>
        </w:rPr>
        <w:t>023-</w:t>
      </w:r>
      <w:r>
        <w:rPr>
          <w:rFonts w:hint="default" w:ascii="Times New Roman" w:hAnsi="Times New Roman" w:eastAsia="方正仿宋_GBK" w:cs="Times New Roman"/>
          <w:color w:val="auto"/>
          <w:sz w:val="24"/>
          <w:szCs w:val="24"/>
          <w:highlight w:val="none"/>
          <w:lang w:val="en-US" w:eastAsia="zh-CN"/>
        </w:rPr>
        <w:t>88519148</w:t>
      </w:r>
    </w:p>
    <w:p w14:paraId="06C3865D">
      <w:pPr>
        <w:snapToGrid w:val="0"/>
        <w:spacing w:line="480" w:lineRule="exact"/>
        <w:ind w:firstLine="480" w:firstLineChars="200"/>
        <w:rPr>
          <w:rFonts w:hint="eastAsia" w:ascii="Times New Roman" w:hAnsi="Times New Roman" w:eastAsia="方正仿宋_GBK" w:cs="Times New Roman"/>
          <w:color w:val="auto"/>
          <w:sz w:val="24"/>
          <w:szCs w:val="24"/>
          <w:lang w:eastAsia="zh-CN"/>
        </w:rPr>
      </w:pPr>
      <w:r>
        <w:rPr>
          <w:rFonts w:hint="default" w:ascii="Times New Roman" w:hAnsi="Times New Roman" w:eastAsia="方正仿宋_GBK" w:cs="Times New Roman"/>
          <w:color w:val="auto"/>
          <w:sz w:val="24"/>
          <w:szCs w:val="24"/>
        </w:rPr>
        <w:t>地址：</w:t>
      </w:r>
      <w:r>
        <w:rPr>
          <w:rFonts w:hint="default" w:ascii="Times New Roman" w:hAnsi="Times New Roman" w:eastAsia="方正仿宋_GBK" w:cs="Times New Roman"/>
          <w:color w:val="auto"/>
          <w:sz w:val="24"/>
          <w:szCs w:val="24"/>
          <w:lang w:val="en-US" w:eastAsia="zh-CN"/>
        </w:rPr>
        <w:t>两江新</w:t>
      </w:r>
      <w:r>
        <w:rPr>
          <w:rFonts w:hint="default" w:ascii="Times New Roman" w:hAnsi="Times New Roman" w:eastAsia="方正仿宋_GBK" w:cs="Times New Roman"/>
          <w:color w:val="auto"/>
          <w:sz w:val="24"/>
          <w:szCs w:val="24"/>
        </w:rPr>
        <w:t>区嘉陵一村1号</w:t>
      </w:r>
      <w:r>
        <w:rPr>
          <w:rFonts w:hint="default" w:ascii="Times New Roman" w:hAnsi="Times New Roman" w:eastAsia="方正仿宋_GBK" w:cs="Times New Roman"/>
          <w:color w:val="auto"/>
          <w:sz w:val="24"/>
          <w:szCs w:val="24"/>
          <w:lang w:eastAsia="zh-CN"/>
        </w:rPr>
        <w:t>，</w:t>
      </w:r>
      <w:r>
        <w:rPr>
          <w:rFonts w:hint="default" w:ascii="Times New Roman" w:hAnsi="Times New Roman" w:eastAsia="方正仿宋_GBK" w:cs="Times New Roman"/>
          <w:color w:val="auto"/>
          <w:sz w:val="24"/>
          <w:szCs w:val="24"/>
        </w:rPr>
        <w:t>重庆市红十字会医院</w:t>
      </w:r>
    </w:p>
    <w:p w14:paraId="753B133E">
      <w:pPr>
        <w:pStyle w:val="2"/>
        <w:rPr>
          <w:rFonts w:hint="eastAsia"/>
          <w:lang w:eastAsia="zh-CN"/>
        </w:rPr>
        <w:sectPr>
          <w:headerReference r:id="rId4" w:type="default"/>
          <w:footerReference r:id="rId5" w:type="default"/>
          <w:type w:val="nextColumn"/>
          <w:pgSz w:w="11907" w:h="16840"/>
          <w:pgMar w:top="1134" w:right="1191" w:bottom="1134" w:left="1304" w:header="851" w:footer="992" w:gutter="0"/>
          <w:pgNumType w:fmt="decimal"/>
          <w:cols w:space="720" w:num="1"/>
          <w:docGrid w:linePitch="380" w:charSpace="-5735"/>
        </w:sectPr>
      </w:pPr>
    </w:p>
    <w:bookmarkEnd w:id="10"/>
    <w:bookmarkEnd w:id="11"/>
    <w:bookmarkEnd w:id="12"/>
    <w:bookmarkEnd w:id="13"/>
    <w:bookmarkEnd w:id="14"/>
    <w:p w14:paraId="79D32E6E">
      <w:pPr>
        <w:pStyle w:val="16"/>
        <w:bidi w:val="0"/>
        <w:rPr>
          <w:rFonts w:hint="default" w:ascii="Times New Roman" w:hAnsi="Times New Roman" w:cs="Times New Roman"/>
          <w:color w:val="auto"/>
        </w:rPr>
      </w:pPr>
      <w:bookmarkStart w:id="38" w:name="_Toc22229"/>
      <w:bookmarkStart w:id="39" w:name="_Toc102227313"/>
      <w:r>
        <w:rPr>
          <w:rFonts w:hint="default" w:ascii="Times New Roman" w:hAnsi="Times New Roman" w:cs="Times New Roman"/>
          <w:color w:val="auto"/>
        </w:rPr>
        <w:t>第二篇 项目服务需求</w:t>
      </w:r>
      <w:bookmarkEnd w:id="38"/>
    </w:p>
    <w:p w14:paraId="37E0E49F">
      <w:pPr>
        <w:pStyle w:val="15"/>
        <w:bidi w:val="0"/>
        <w:rPr>
          <w:rFonts w:hint="default" w:ascii="Times New Roman" w:hAnsi="Times New Roman" w:cs="Times New Roman"/>
          <w:color w:val="auto"/>
        </w:rPr>
      </w:pPr>
      <w:bookmarkStart w:id="40" w:name="_Toc10202"/>
      <w:bookmarkStart w:id="41" w:name="_Toc31369"/>
      <w:bookmarkStart w:id="42" w:name="_Toc29526"/>
      <w:r>
        <w:rPr>
          <w:rFonts w:hint="default" w:ascii="Times New Roman" w:hAnsi="Times New Roman" w:cs="Times New Roman"/>
          <w:color w:val="auto"/>
        </w:rPr>
        <w:t>一、项目</w:t>
      </w:r>
      <w:bookmarkEnd w:id="40"/>
      <w:r>
        <w:rPr>
          <w:rFonts w:hint="default" w:ascii="Times New Roman" w:hAnsi="Times New Roman" w:cs="Times New Roman"/>
          <w:color w:val="auto"/>
        </w:rPr>
        <w:t>概况</w:t>
      </w:r>
      <w:bookmarkEnd w:id="41"/>
      <w:bookmarkEnd w:id="42"/>
    </w:p>
    <w:tbl>
      <w:tblPr>
        <w:tblStyle w:val="10"/>
        <w:tblW w:w="83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81"/>
        <w:gridCol w:w="2121"/>
        <w:gridCol w:w="2087"/>
      </w:tblGrid>
      <w:tr w14:paraId="078E7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4181" w:type="dxa"/>
            <w:tcBorders>
              <w:top w:val="single" w:color="auto" w:sz="4" w:space="0"/>
              <w:left w:val="single" w:color="auto" w:sz="4" w:space="0"/>
              <w:right w:val="single" w:color="auto" w:sz="4" w:space="0"/>
            </w:tcBorders>
            <w:vAlign w:val="center"/>
          </w:tcPr>
          <w:p w14:paraId="4950B41B">
            <w:pPr>
              <w:widowControl/>
              <w:spacing w:line="240" w:lineRule="auto"/>
              <w:jc w:val="center"/>
              <w:rPr>
                <w:rFonts w:hint="default" w:ascii="Times New Roman" w:hAnsi="Times New Roman" w:eastAsia="方正黑体_GBK" w:cs="Times New Roman"/>
                <w:b w:val="0"/>
                <w:bCs w:val="0"/>
                <w:color w:val="auto"/>
                <w:kern w:val="0"/>
                <w:sz w:val="21"/>
                <w:szCs w:val="21"/>
              </w:rPr>
            </w:pPr>
            <w:bookmarkStart w:id="43" w:name="_Toc8527"/>
            <w:r>
              <w:rPr>
                <w:rFonts w:hint="default" w:ascii="Times New Roman" w:hAnsi="Times New Roman" w:eastAsia="方正黑体_GBK" w:cs="Times New Roman"/>
                <w:b w:val="0"/>
                <w:bCs w:val="0"/>
                <w:color w:val="auto"/>
                <w:kern w:val="0"/>
                <w:sz w:val="21"/>
                <w:szCs w:val="21"/>
              </w:rPr>
              <w:t>项目名称</w:t>
            </w:r>
          </w:p>
        </w:tc>
        <w:tc>
          <w:tcPr>
            <w:tcW w:w="2121" w:type="dxa"/>
            <w:tcBorders>
              <w:top w:val="single" w:color="auto" w:sz="4" w:space="0"/>
              <w:left w:val="single" w:color="auto" w:sz="4" w:space="0"/>
              <w:right w:val="single" w:color="auto" w:sz="4" w:space="0"/>
            </w:tcBorders>
            <w:vAlign w:val="center"/>
          </w:tcPr>
          <w:p w14:paraId="55B9060C">
            <w:pPr>
              <w:widowControl/>
              <w:spacing w:line="240" w:lineRule="auto"/>
              <w:jc w:val="center"/>
              <w:rPr>
                <w:rFonts w:hint="default" w:ascii="Times New Roman" w:hAnsi="Times New Roman" w:eastAsia="方正黑体_GBK" w:cs="Times New Roman"/>
                <w:b w:val="0"/>
                <w:bCs w:val="0"/>
                <w:color w:val="auto"/>
                <w:kern w:val="0"/>
                <w:sz w:val="21"/>
                <w:szCs w:val="21"/>
                <w:lang w:val="en-US" w:eastAsia="zh-CN"/>
              </w:rPr>
            </w:pPr>
            <w:r>
              <w:rPr>
                <w:rFonts w:hint="default" w:ascii="Times New Roman" w:hAnsi="Times New Roman" w:eastAsia="方正黑体_GBK" w:cs="Times New Roman"/>
                <w:b w:val="0"/>
                <w:bCs w:val="0"/>
                <w:color w:val="auto"/>
                <w:kern w:val="0"/>
                <w:sz w:val="21"/>
                <w:szCs w:val="21"/>
                <w:lang w:eastAsia="zh-CN"/>
              </w:rPr>
              <w:t>数量</w:t>
            </w:r>
            <w:r>
              <w:rPr>
                <w:rFonts w:hint="default" w:ascii="Times New Roman" w:hAnsi="Times New Roman" w:eastAsia="方正黑体_GBK" w:cs="Times New Roman"/>
                <w:b w:val="0"/>
                <w:bCs w:val="0"/>
                <w:color w:val="auto"/>
                <w:kern w:val="0"/>
                <w:sz w:val="21"/>
                <w:szCs w:val="21"/>
                <w:lang w:val="en-US" w:eastAsia="zh-CN"/>
              </w:rPr>
              <w:t>/单位</w:t>
            </w:r>
          </w:p>
        </w:tc>
        <w:tc>
          <w:tcPr>
            <w:tcW w:w="2087" w:type="dxa"/>
            <w:tcBorders>
              <w:top w:val="single" w:color="auto" w:sz="4" w:space="0"/>
              <w:left w:val="single" w:color="auto" w:sz="4" w:space="0"/>
              <w:right w:val="single" w:color="auto" w:sz="4" w:space="0"/>
            </w:tcBorders>
            <w:vAlign w:val="center"/>
          </w:tcPr>
          <w:p w14:paraId="2A2CB26B">
            <w:pPr>
              <w:spacing w:line="240" w:lineRule="auto"/>
              <w:jc w:val="center"/>
              <w:rPr>
                <w:rFonts w:hint="default" w:ascii="Times New Roman" w:hAnsi="Times New Roman" w:eastAsia="方正黑体_GBK" w:cs="Times New Roman"/>
                <w:b w:val="0"/>
                <w:bCs w:val="0"/>
                <w:color w:val="auto"/>
                <w:kern w:val="0"/>
                <w:sz w:val="21"/>
                <w:szCs w:val="21"/>
              </w:rPr>
            </w:pPr>
            <w:r>
              <w:rPr>
                <w:rFonts w:hint="default" w:ascii="Times New Roman" w:hAnsi="Times New Roman" w:eastAsia="方正黑体_GBK" w:cs="Times New Roman"/>
                <w:b w:val="0"/>
                <w:bCs w:val="0"/>
                <w:color w:val="auto"/>
                <w:kern w:val="0"/>
                <w:sz w:val="21"/>
                <w:szCs w:val="21"/>
              </w:rPr>
              <w:t>成交供应商数量（</w:t>
            </w:r>
            <w:r>
              <w:rPr>
                <w:rFonts w:hint="default" w:ascii="Times New Roman" w:hAnsi="Times New Roman" w:eastAsia="方正黑体_GBK" w:cs="Times New Roman"/>
                <w:b w:val="0"/>
                <w:bCs w:val="0"/>
                <w:color w:val="auto"/>
                <w:kern w:val="0"/>
                <w:sz w:val="21"/>
                <w:szCs w:val="21"/>
                <w:lang w:eastAsia="zh-CN"/>
              </w:rPr>
              <w:t>个</w:t>
            </w:r>
            <w:r>
              <w:rPr>
                <w:rFonts w:hint="default" w:ascii="Times New Roman" w:hAnsi="Times New Roman" w:eastAsia="方正黑体_GBK" w:cs="Times New Roman"/>
                <w:b w:val="0"/>
                <w:bCs w:val="0"/>
                <w:color w:val="auto"/>
                <w:kern w:val="0"/>
                <w:sz w:val="21"/>
                <w:szCs w:val="21"/>
              </w:rPr>
              <w:t>）</w:t>
            </w:r>
          </w:p>
        </w:tc>
      </w:tr>
      <w:tr w14:paraId="7B747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4181" w:type="dxa"/>
            <w:tcBorders>
              <w:top w:val="single" w:color="auto" w:sz="4" w:space="0"/>
              <w:left w:val="single" w:color="auto" w:sz="4" w:space="0"/>
              <w:bottom w:val="single" w:color="auto" w:sz="4" w:space="0"/>
              <w:right w:val="single" w:color="auto" w:sz="4" w:space="0"/>
            </w:tcBorders>
            <w:vAlign w:val="center"/>
          </w:tcPr>
          <w:p w14:paraId="103B7936">
            <w:pPr>
              <w:spacing w:line="240" w:lineRule="auto"/>
              <w:jc w:val="center"/>
              <w:rPr>
                <w:rFonts w:hint="default" w:ascii="Times New Roman" w:hAnsi="Times New Roman" w:eastAsia="方正仿宋_GBK" w:cs="Times New Roman"/>
                <w:b w:val="0"/>
                <w:bCs w:val="0"/>
                <w:color w:val="auto"/>
                <w:kern w:val="0"/>
                <w:sz w:val="21"/>
                <w:szCs w:val="21"/>
                <w:lang w:eastAsia="zh-CN"/>
              </w:rPr>
            </w:pPr>
            <w:r>
              <w:rPr>
                <w:rFonts w:hint="default" w:ascii="Times New Roman" w:hAnsi="Times New Roman" w:eastAsia="仿宋" w:cs="Times New Roman"/>
                <w:b w:val="0"/>
                <w:bCs w:val="0"/>
                <w:kern w:val="0"/>
                <w:sz w:val="24"/>
                <w:szCs w:val="24"/>
                <w:lang w:eastAsia="zh-CN"/>
              </w:rPr>
              <w:t>重庆市红十字会医院</w:t>
            </w:r>
            <w:r>
              <w:rPr>
                <w:rFonts w:hint="default" w:ascii="Times New Roman" w:hAnsi="Times New Roman" w:eastAsia="仿宋" w:cs="Times New Roman"/>
                <w:b w:val="0"/>
                <w:bCs w:val="0"/>
                <w:kern w:val="0"/>
                <w:sz w:val="24"/>
                <w:szCs w:val="24"/>
                <w:lang w:val="en-US" w:eastAsia="zh-CN"/>
              </w:rPr>
              <w:t>五里店院区</w:t>
            </w:r>
            <w:r>
              <w:rPr>
                <w:rFonts w:hint="default" w:ascii="Times New Roman" w:hAnsi="Times New Roman" w:eastAsia="仿宋" w:cs="Times New Roman"/>
                <w:b w:val="0"/>
                <w:bCs w:val="0"/>
                <w:kern w:val="0"/>
                <w:sz w:val="24"/>
                <w:szCs w:val="24"/>
                <w:lang w:eastAsia="zh-CN"/>
              </w:rPr>
              <w:t>住院患者陪护服务</w:t>
            </w:r>
          </w:p>
        </w:tc>
        <w:tc>
          <w:tcPr>
            <w:tcW w:w="2121" w:type="dxa"/>
            <w:tcBorders>
              <w:top w:val="single" w:color="auto" w:sz="4" w:space="0"/>
              <w:left w:val="single" w:color="auto" w:sz="4" w:space="0"/>
              <w:bottom w:val="single" w:color="auto" w:sz="4" w:space="0"/>
              <w:right w:val="single" w:color="auto" w:sz="4" w:space="0"/>
            </w:tcBorders>
            <w:vAlign w:val="center"/>
          </w:tcPr>
          <w:p w14:paraId="6749C775">
            <w:pPr>
              <w:spacing w:line="240" w:lineRule="auto"/>
              <w:jc w:val="center"/>
              <w:rPr>
                <w:rFonts w:hint="default" w:ascii="Times New Roman" w:hAnsi="Times New Roman" w:eastAsia="方正仿宋_GBK" w:cs="Times New Roman"/>
                <w:b w:val="0"/>
                <w:bCs w:val="0"/>
                <w:color w:val="auto"/>
                <w:sz w:val="21"/>
                <w:szCs w:val="21"/>
                <w:lang w:eastAsia="zh-CN"/>
              </w:rPr>
            </w:pPr>
            <w:r>
              <w:rPr>
                <w:rFonts w:hint="default" w:ascii="Times New Roman" w:hAnsi="Times New Roman" w:eastAsia="方正仿宋_GBK" w:cs="Times New Roman"/>
                <w:b w:val="0"/>
                <w:bCs w:val="0"/>
                <w:color w:val="auto"/>
                <w:sz w:val="21"/>
                <w:szCs w:val="21"/>
                <w:lang w:val="en-US" w:eastAsia="zh-CN"/>
              </w:rPr>
              <w:t>1项</w:t>
            </w:r>
          </w:p>
        </w:tc>
        <w:tc>
          <w:tcPr>
            <w:tcW w:w="2087" w:type="dxa"/>
            <w:tcBorders>
              <w:top w:val="single" w:color="auto" w:sz="4" w:space="0"/>
              <w:left w:val="single" w:color="auto" w:sz="4" w:space="0"/>
              <w:bottom w:val="single" w:color="auto" w:sz="4" w:space="0"/>
              <w:right w:val="single" w:color="auto" w:sz="4" w:space="0"/>
            </w:tcBorders>
            <w:vAlign w:val="center"/>
          </w:tcPr>
          <w:p w14:paraId="5D804DE8">
            <w:pPr>
              <w:spacing w:line="240" w:lineRule="auto"/>
              <w:jc w:val="center"/>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kern w:val="0"/>
                <w:sz w:val="21"/>
                <w:szCs w:val="21"/>
              </w:rPr>
              <w:t>1</w:t>
            </w:r>
          </w:p>
        </w:tc>
      </w:tr>
      <w:bookmarkEnd w:id="43"/>
    </w:tbl>
    <w:p w14:paraId="438DB97A">
      <w:pPr>
        <w:pStyle w:val="15"/>
        <w:bidi w:val="0"/>
        <w:rPr>
          <w:rFonts w:hint="default" w:ascii="Times New Roman" w:hAnsi="Times New Roman" w:cs="Times New Roman"/>
          <w:color w:val="auto"/>
          <w:lang w:eastAsia="zh-CN"/>
        </w:rPr>
      </w:pPr>
      <w:bookmarkStart w:id="44" w:name="_Toc18369"/>
      <w:r>
        <w:rPr>
          <w:rFonts w:hint="default" w:ascii="Times New Roman" w:hAnsi="Times New Roman" w:cs="Times New Roman"/>
          <w:color w:val="auto"/>
          <w:lang w:eastAsia="zh-CN"/>
        </w:rPr>
        <w:t>二、项目服务需求</w:t>
      </w:r>
    </w:p>
    <w:p w14:paraId="5E70254B">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（一）对陪护服务要求</w:t>
      </w:r>
    </w:p>
    <w:p w14:paraId="05AB9DF2">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1.陪护人员要求：原则上女性年龄不超过55岁，男性不超过60岁，身体健康，能胜任陪护工作。有健康证、医疗护理员（患者照护方</w:t>
      </w:r>
      <w:r>
        <w:rPr>
          <w:rFonts w:hint="default" w:ascii="Times New Roman" w:hAnsi="Times New Roman" w:cs="Times New Roman"/>
          <w:color w:val="auto"/>
          <w:highlight w:val="none"/>
          <w:lang w:val="en-US" w:eastAsia="zh-CN"/>
        </w:rPr>
        <w:t>向）及母婴照护相关职业技能培训合格证、身份证，证件齐全，感染四项检测合格，无不良记录及犯罪史，每年更新</w:t>
      </w:r>
      <w:r>
        <w:rPr>
          <w:rFonts w:hint="default" w:ascii="Times New Roman" w:hAnsi="Times New Roman" w:cs="Times New Roman"/>
          <w:color w:val="auto"/>
          <w:lang w:val="en-US" w:eastAsia="zh-CN"/>
        </w:rPr>
        <w:t>健康证及感染四项检测合格报告（如陪护人员本人未及时更新相关证件及检测报告，医院有权要求暂停该陪护人员陪护资格，待更新后再上岗）。</w:t>
      </w:r>
    </w:p>
    <w:p w14:paraId="2C893AA8">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2.陪护管理人员要求</w:t>
      </w:r>
    </w:p>
    <w:p w14:paraId="2888FAA4">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（1）45岁以下、大专及以上学历，具备丰富的陪护管理经验，能积极沟通，听取客户对陪护管理工作的意见；</w:t>
      </w:r>
    </w:p>
    <w:p w14:paraId="62D4815C">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（2）负责对陪护的管理、指导、培训工作。进入医院后，成交供应商需要定期对陪护人员开设</w:t>
      </w:r>
      <w:r>
        <w:rPr>
          <w:rFonts w:hint="eastAsia" w:ascii="Times New Roman" w:hAnsi="Times New Roman" w:cs="Times New Roman"/>
          <w:color w:val="auto"/>
          <w:lang w:val="en-US" w:eastAsia="zh-CN"/>
        </w:rPr>
        <w:t>必要的</w:t>
      </w:r>
      <w:r>
        <w:rPr>
          <w:rFonts w:hint="default" w:ascii="Times New Roman" w:hAnsi="Times New Roman" w:cs="Times New Roman"/>
          <w:color w:val="auto"/>
          <w:lang w:val="en-US" w:eastAsia="zh-CN"/>
        </w:rPr>
        <w:t>岗</w:t>
      </w:r>
      <w:bookmarkStart w:id="150" w:name="_GoBack"/>
      <w:bookmarkEnd w:id="150"/>
      <w:r>
        <w:rPr>
          <w:rFonts w:hint="default" w:ascii="Times New Roman" w:hAnsi="Times New Roman" w:cs="Times New Roman"/>
          <w:color w:val="auto"/>
          <w:lang w:val="en-US" w:eastAsia="zh-CN"/>
        </w:rPr>
        <w:t>位工作相关培训课程，并对陪护人员进行考核，考核合格才能上岗；</w:t>
      </w:r>
    </w:p>
    <w:p w14:paraId="4F1F02F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（3）保证24小时有管理人员驻场，如遇突发状况能在10分钟之内到达，及时对突发事件进行协调解决；</w:t>
      </w:r>
    </w:p>
    <w:p w14:paraId="1C895C0D">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（4）保证入驻科室陪护均有组长管理，以便联系及时处理问题。</w:t>
      </w:r>
    </w:p>
    <w:p w14:paraId="61EA6226">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3.陪护服务要求</w:t>
      </w:r>
    </w:p>
    <w:p w14:paraId="6B8D5F6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（1）能够体现对陪护工作的专业性，供应商每年对陪护人员进行完善的岗前培训；</w:t>
      </w:r>
    </w:p>
    <w:p w14:paraId="633495A7">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（2）对不同服务对象能够提供不同层次的服务；</w:t>
      </w:r>
    </w:p>
    <w:p w14:paraId="141BF16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（3）定期测评客户满意度，并不断改进管理方法及服务质量；</w:t>
      </w:r>
    </w:p>
    <w:p w14:paraId="1E7A366D">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（4）陪护人员要服从科室管理，不允许私自代管其他病人，私自在病区兜售物品，严禁私自收费及乱收费、乱窜病房、吵架及争抢陪护对象、干扰患者治疗方案等情况，严禁损害医院及科室利益；</w:t>
      </w:r>
    </w:p>
    <w:p w14:paraId="0B78DCBF">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（5）陪护人员在工作时间内统一服装，服从医院管理，非工作时间段严禁在病房滞留；</w:t>
      </w:r>
    </w:p>
    <w:p w14:paraId="47F6C262">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（6）针对目前医院陪护状况制定详细的服务方案；</w:t>
      </w:r>
    </w:p>
    <w:p w14:paraId="39F930BC">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（7）根据不同科室不同病人的不同需求配置合理的陪护人员。</w:t>
      </w:r>
    </w:p>
    <w:p w14:paraId="4B7BD359">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4.陪护服务公司服务项目：要求提供一般生活陪护服务项目及其他医院需要的特色服务项目。</w:t>
      </w:r>
    </w:p>
    <w:p w14:paraId="4F8CEB67">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5.陪护服务公司培训课程要求：提供岗前培训及上岗前考核证明，定期组织在岗培训。</w:t>
      </w:r>
    </w:p>
    <w:p w14:paraId="7AD826D3">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6.陪护服务公司质量管理标准要求</w:t>
      </w:r>
    </w:p>
    <w:p w14:paraId="1880E5D0">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（1）要求提供陪护突发事件应急预案，陪护工作管理流程，陪护日常工作内容及质量管理标准；</w:t>
      </w:r>
    </w:p>
    <w:p w14:paraId="1B57D9F9">
      <w:pPr>
        <w:pStyle w:val="14"/>
        <w:bidi w:val="0"/>
        <w:rPr>
          <w:rFonts w:hint="default" w:ascii="Times New Roman" w:hAnsi="Times New Roman" w:cs="Times New Roman"/>
          <w:color w:val="auto"/>
        </w:rPr>
      </w:pPr>
      <w:r>
        <w:rPr>
          <w:rFonts w:hint="default" w:ascii="Times New Roman" w:hAnsi="Times New Roman" w:cs="Times New Roman"/>
          <w:color w:val="auto"/>
          <w:lang w:val="en-US" w:eastAsia="zh-CN"/>
        </w:rPr>
        <w:t>（2）科室参与陪护管理及陪护工作质量检查，明确奖罚制度并监督实施。</w:t>
      </w:r>
    </w:p>
    <w:p w14:paraId="7E2F3777">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7.陪护服务公司收费标准：要求提供陪护服务收费标准，派工及陪护费用结算流程。</w:t>
      </w:r>
    </w:p>
    <w:p w14:paraId="6F71824D">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8.陪护工作</w:t>
      </w:r>
      <w:r>
        <w:rPr>
          <w:rFonts w:hint="default" w:ascii="Times New Roman" w:hAnsi="Times New Roman" w:cs="Times New Roman"/>
          <w:color w:val="auto"/>
          <w:highlight w:val="none"/>
          <w:lang w:val="en-US" w:eastAsia="zh-CN"/>
        </w:rPr>
        <w:t>内容包括（但不限于）</w:t>
      </w:r>
    </w:p>
    <w:p w14:paraId="6278DC84">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（1）协助维护病人卫生、仪容仪表：当病人因个人原因不能自己完成个人清洁卫生、自行整理时，如洗脸、梳头、口腔清洁、假牙护理、擦身、更衣、协助入厕或使用便盆、便壶等；</w:t>
      </w:r>
    </w:p>
    <w:p w14:paraId="1CF38A8E">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（2）协助病人满足营养需求，如喂饭、协助进餐等；</w:t>
      </w:r>
    </w:p>
    <w:p w14:paraId="30045748">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（3）维护病人安全：协助病人上下床，使用轮椅，在医生指导下协助活动关节，避免坠床跌倒，缓解焦虑等；</w:t>
      </w:r>
    </w:p>
    <w:p w14:paraId="41542FF0">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（4）病人如果有特殊情况及时报告医护人员：发现病人发热、病人在输液时，液体突然减缓，局部肿胀或发现病人有精神方面异常（如自杀倾向等）；</w:t>
      </w:r>
    </w:p>
    <w:p w14:paraId="45C4F143">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（5）长期卧床病人，要定时协助翻身，清理大小便，保持皮肤清洁、干燥；</w:t>
      </w:r>
    </w:p>
    <w:p w14:paraId="35E6E0D4">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（6）服务期间，病人外出检查、治疗等，陪护陪同，不让病人单独前往，如遇神志不清病人，应对病人进行看护，防走失，协助患者转运、出院等；</w:t>
      </w:r>
    </w:p>
    <w:p w14:paraId="3316128A">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（7）协助患者订餐、取餐等。</w:t>
      </w:r>
    </w:p>
    <w:p w14:paraId="47FC4B7A">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9.语言要求</w:t>
      </w:r>
    </w:p>
    <w:p w14:paraId="5250DA76">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（1）语言精确恰当：要估计病人的教育程度及理解力，选择合适的语言来表达。语言内容要严谨、符合伦理道德原则。</w:t>
      </w:r>
    </w:p>
    <w:p w14:paraId="47AC807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（2）语言的情感性：语言的情感沟通是陪护与患者之间感情的桥梁，应满腔热情地面对病人，将对病人的爱心、同情心和真诚相助的情感融在言语中。如早上病人醒来，微笑对病人说：</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您晚上</w:t>
      </w:r>
      <w:r>
        <w:rPr>
          <w:rFonts w:hint="eastAsia" w:ascii="Times New Roman" w:hAnsi="Times New Roman" w:cs="Times New Roman"/>
          <w:color w:val="auto"/>
          <w:lang w:val="en-US" w:eastAsia="zh-CN"/>
        </w:rPr>
        <w:t>睡得</w:t>
      </w:r>
      <w:r>
        <w:rPr>
          <w:rFonts w:hint="default" w:ascii="Times New Roman" w:hAnsi="Times New Roman" w:cs="Times New Roman"/>
          <w:color w:val="auto"/>
          <w:lang w:val="en-US" w:eastAsia="zh-CN"/>
        </w:rPr>
        <w:t>好吗？</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今天天气真好！我打开窗户交换一下空气，行吗？”</w:t>
      </w:r>
    </w:p>
    <w:p w14:paraId="4916B8DC">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（3）语言的保密性：对病人的隐私如生理缺陷、精神病、性病等要保密，病人不愿意陈述的内容不要问，更不能向别人散布。</w:t>
      </w:r>
    </w:p>
    <w:p w14:paraId="1F3AFC79">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（4）符合文明礼貌要求的陪护人员日常用语</w:t>
      </w:r>
    </w:p>
    <w:p w14:paraId="489B8D97">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①招呼用语：和对方见面可说：</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您好</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请坐</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，见面后不能马上达到对方的要求可用</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请稍候</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请别急</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其他</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谢谢</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再见</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w:t>
      </w:r>
    </w:p>
    <w:p w14:paraId="2663B7EA">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②称呼用语：对病人的称呼要有分寸，可视年龄、职业而选择不同的称呼。如张局长、李科长、王处长、李医生、张老师等；不可对老人称呼老张、老李。</w:t>
      </w:r>
    </w:p>
    <w:p w14:paraId="32D63E9C">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③介绍用语：</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您好，我是负责您……，我叫……</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w:t>
      </w:r>
    </w:p>
    <w:p w14:paraId="553F93DC">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与病人交流中的禁忌：忌讳出言不逊，恶语伤人；忌讳使用质问式语言；忌讳使用命令式语言；忌讳使用土语、习惯用语、暗语和所谓的行话；忌讳对病人不愿回答的问题刨根问底；忌讳口头禅；忌讳用粗话、脏话；忌讳与病人交谈涉及到死亡的事情；忌讳在病人不知情的情况下谈论病人病情；禁忌与病人吵架；禁忌打骂病人等。</w:t>
      </w:r>
    </w:p>
    <w:p w14:paraId="44596F55">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10. 月嫂/母婴陪护专项服务要求</w:t>
      </w:r>
    </w:p>
    <w:p w14:paraId="2E4AE877">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（1）供应商须提供具备母婴照护专项技能的陪护人员（月嫂），为住院产妇及新生儿提供专业生活护理服务。</w:t>
      </w:r>
    </w:p>
    <w:p w14:paraId="0F3C0F26">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（2）母婴陪护人员除满足本文件基本陪护人员要求外，还应具备以下条件</w:t>
      </w:r>
    </w:p>
    <w:p w14:paraId="12061636">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① 女性，年龄不超过50周岁，身体健康，无传染性疾病；</w:t>
      </w:r>
    </w:p>
    <w:p w14:paraId="6AB195A8">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② 持有母婴护理专项职业技能培训合格证书或相关母婴护理资格证；</w:t>
      </w:r>
    </w:p>
    <w:p w14:paraId="43B7FDE5">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③ 具备新生儿护理经验，掌握母乳喂养指导、新生儿抚触、脐部护理、臀部护理、奶具消毒等基本技能</w:t>
      </w:r>
      <w:r>
        <w:rPr>
          <w:rFonts w:hint="eastAsia" w:ascii="Times New Roman" w:hAnsi="Times New Roman" w:cs="Times New Roman"/>
          <w:color w:val="000000" w:themeColor="text1"/>
          <w:highlight w:val="none"/>
          <w:lang w:val="en-US" w:eastAsia="zh-CN"/>
          <w14:textFill>
            <w14:solidFill>
              <w14:schemeClr w14:val="tx1"/>
            </w14:solidFill>
          </w14:textFill>
        </w:rPr>
        <w:t>。</w:t>
      </w:r>
    </w:p>
    <w:p w14:paraId="7868D6FC">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（3）母婴陪护服务内容包括但不限于</w:t>
      </w:r>
    </w:p>
    <w:p w14:paraId="410252A5">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① 协助产妇晨晚间护理、洗漱、梳头、擦身、更衣、协助如厕及更换会阴护垫；</w:t>
      </w:r>
    </w:p>
    <w:p w14:paraId="2F4BF0BB">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② 协助产妇进食、饮水，保持床单元整洁，更换床单被套；</w:t>
      </w:r>
    </w:p>
    <w:p w14:paraId="404D9AC6">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③ 在护士指导下协助产妇母乳喂养（含乳房护理、哺乳姿势指导、宝宝换尿片等）；</w:t>
      </w:r>
    </w:p>
    <w:p w14:paraId="49A761A2">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④ 协同护士帮助产妇过床、更换体位、翻身、倾倒尿袋（手术产后）；</w:t>
      </w:r>
    </w:p>
    <w:p w14:paraId="65208262">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⑤ 协助新生儿日常护理（含更换尿布、新生儿沐浴、抚触、脐部护理、臀部护理等）；</w:t>
      </w:r>
    </w:p>
    <w:p w14:paraId="2D2868F2">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⑥ 奶具清洗消毒、协助配方奶喂养；</w:t>
      </w:r>
    </w:p>
    <w:p w14:paraId="32B99317">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⑦ 观察新生儿异常情况（如黄疸、发热、喂养困难等），及时报告医护人员；</w:t>
      </w:r>
    </w:p>
    <w:p w14:paraId="75E7DF59">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⑧ 保持母婴同室环境整洁，整理床头柜及病床卫生；</w:t>
      </w:r>
    </w:p>
    <w:p w14:paraId="01FE5400">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⑨ 按需协助产妇洗头及其他生活所需。</w:t>
      </w:r>
    </w:p>
    <w:p w14:paraId="656B86A4">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（4）月嫂服务实行患者自愿选择原则，供应商须在病区公示服务项目、服务内容及收费标准，由产妇或家属自愿选择并签订服务协议。</w:t>
      </w:r>
    </w:p>
    <w:p w14:paraId="38424605">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（5）供应商</w:t>
      </w:r>
      <w:r>
        <w:rPr>
          <w:rFonts w:hint="eastAsia" w:ascii="Times New Roman" w:hAnsi="Times New Roman" w:cs="Times New Roman"/>
          <w:color w:val="000000" w:themeColor="text1"/>
          <w:highlight w:val="none"/>
          <w:lang w:val="en-US" w:eastAsia="zh-CN"/>
          <w14:textFill>
            <w14:solidFill>
              <w14:schemeClr w14:val="tx1"/>
            </w14:solidFill>
          </w14:textFill>
        </w:rPr>
        <w:t>配备</w:t>
      </w:r>
      <w:r>
        <w:rPr>
          <w:rFonts w:hint="default" w:ascii="Times New Roman" w:hAnsi="Times New Roman" w:cs="Times New Roman"/>
          <w:color w:val="000000" w:themeColor="text1"/>
          <w:highlight w:val="none"/>
          <w:lang w:val="en-US" w:eastAsia="zh-CN"/>
          <w14:textFill>
            <w14:solidFill>
              <w14:schemeClr w14:val="tx1"/>
            </w14:solidFill>
          </w14:textFill>
        </w:rPr>
        <w:t>专职管理人员，负责母婴陪护人员的日常管理、培训及质量督导，确保母婴照护服务的专业性和安全性。</w:t>
      </w:r>
    </w:p>
    <w:p w14:paraId="612E152D">
      <w:pPr>
        <w:pStyle w:val="14"/>
        <w:bidi w:val="0"/>
        <w:rPr>
          <w:rFonts w:hint="default" w:ascii="Times New Roman" w:hAnsi="Times New Roman" w:cs="Times New Roman"/>
          <w:color w:val="000000" w:themeColor="text1"/>
          <w:highlight w:val="red"/>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（6）如产妇患有传染性疾病或存在其他特殊情况，供应商应根据医院评估意见，采取相应的防护和服务措施。</w:t>
      </w:r>
    </w:p>
    <w:p w14:paraId="47E6D04F">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lang w:val="en-US" w:eastAsia="zh-CN"/>
        </w:rPr>
        <w:t>11.服务期间如</w:t>
      </w:r>
      <w:r>
        <w:rPr>
          <w:rFonts w:hint="default" w:ascii="Times New Roman" w:hAnsi="Times New Roman" w:cs="Times New Roman"/>
          <w:color w:val="auto"/>
          <w:highlight w:val="none"/>
          <w:lang w:val="en-US" w:eastAsia="zh-CN"/>
        </w:rPr>
        <w:t>发生以下问题，成交供应商承担全部责任</w:t>
      </w:r>
    </w:p>
    <w:p w14:paraId="65D12ECF">
      <w:pPr>
        <w:pStyle w:val="14"/>
        <w:bidi w:val="0"/>
        <w:rPr>
          <w:rFonts w:hint="eastAsia"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（1）陪护在病房内使用医院禁止的电器设备造成不良后果的</w:t>
      </w:r>
      <w:r>
        <w:rPr>
          <w:rFonts w:hint="eastAsia" w:ascii="Times New Roman" w:hAnsi="Times New Roman" w:cs="Times New Roman"/>
          <w:color w:val="auto"/>
          <w:highlight w:val="none"/>
          <w:lang w:val="en-US" w:eastAsia="zh-CN"/>
        </w:rPr>
        <w:t>。</w:t>
      </w:r>
    </w:p>
    <w:p w14:paraId="6A93A5D8">
      <w:pPr>
        <w:pStyle w:val="14"/>
        <w:bidi w:val="0"/>
        <w:rPr>
          <w:rFonts w:hint="default" w:ascii="Times New Roman" w:hAnsi="Times New Roman" w:cs="Times New Roman"/>
          <w:color w:val="000000" w:themeColor="text1"/>
          <w:highlight w:val="red"/>
          <w:lang w:val="en-US" w:eastAsia="zh-CN"/>
          <w14:textFill>
            <w14:solidFill>
              <w14:schemeClr w14:val="tx1"/>
            </w14:solidFill>
          </w14:textFill>
        </w:rPr>
      </w:pPr>
      <w:r>
        <w:rPr>
          <w:rFonts w:hint="default" w:ascii="Times New Roman" w:hAnsi="Times New Roman" w:cs="Times New Roman"/>
          <w:color w:val="auto"/>
          <w:highlight w:val="none"/>
          <w:lang w:val="en-US" w:eastAsia="zh-CN"/>
        </w:rPr>
        <w:t>（2）长期卧床病人发生压疮、跌倒、自杀、走失及因责任心不强或专业能力欠缺导致患者其它不良事件发生等意外情况。</w:t>
      </w:r>
    </w:p>
    <w:p w14:paraId="02DC49AE">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（二）供应商相关要求</w:t>
      </w:r>
    </w:p>
    <w:p w14:paraId="3BD61E07">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1.基本要求</w:t>
      </w:r>
    </w:p>
    <w:p w14:paraId="34D74EE3">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供应商具有在同级别医院从事住院患者陪护服务经营管理的经验（供应商需提供相关佐证材料），并根据需要，配备相应数量的具有相关管理经验的专职管理人员2名或以上。</w:t>
      </w:r>
    </w:p>
    <w:p w14:paraId="3EE3E9FC">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2.管理要求</w:t>
      </w:r>
    </w:p>
    <w:p w14:paraId="1FDC7F38">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（1）加强管理人员的培训，提高独立处理事务的能力，重点考评管理人员与临床护士长及时合理沟通的能力，对不能胜任管理工作的员工进行适当调整。</w:t>
      </w:r>
    </w:p>
    <w:p w14:paraId="4B531526">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（2）积极招募陪护人员，确保在病患需要服务时，第一时间安排陪护上岗。</w:t>
      </w:r>
    </w:p>
    <w:p w14:paraId="62576FEB">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（3）陪护管理人员应建立24小时值班制，以保证患方及时请到陪护。</w:t>
      </w:r>
    </w:p>
    <w:p w14:paraId="2C8DCDB5">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（4）服务公司应积极组织服务人员参加岗前培训和岗位培训，所有服务人员应经培训考核合格后上岗。</w:t>
      </w:r>
    </w:p>
    <w:p w14:paraId="14DD7810">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（5）服务人员提供服务时应佩戴统一证件，并着统一工作服。</w:t>
      </w:r>
    </w:p>
    <w:p w14:paraId="495D424E">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（6）对不符合公司要求的工作人员进行调离和辞退。</w:t>
      </w:r>
    </w:p>
    <w:p w14:paraId="707D28ED">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（7）服务公司要加强对病人和家属服务工作的宣教和告知，并请患方签字，必要时请求医务人员协助。</w:t>
      </w:r>
    </w:p>
    <w:p w14:paraId="7405E4D8">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（8）做好陪护人员的管理工作，倡导节约意识，严禁服务人员在病房使用大功率电器，如电饭煲</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电磁炉</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酒精炉等，严禁陪护人员的私人物品占用患者衣柜，保持病区环境整洁，爱护科室公物，不得随意挪用，损坏公物应按价赔偿。</w:t>
      </w:r>
    </w:p>
    <w:p w14:paraId="1FF78304">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（9）</w:t>
      </w:r>
      <w:r>
        <w:rPr>
          <w:rFonts w:hint="default" w:ascii="Times New Roman" w:hAnsi="Times New Roman" w:cs="Times New Roman"/>
          <w:color w:val="auto"/>
          <w:highlight w:val="none"/>
        </w:rPr>
        <w:t>陪护人员配置：根据不同科</w:t>
      </w:r>
      <w:r>
        <w:rPr>
          <w:rFonts w:hint="default" w:ascii="Times New Roman" w:hAnsi="Times New Roman" w:cs="Times New Roman"/>
          <w:color w:val="auto"/>
          <w:highlight w:val="none"/>
          <w:lang w:val="en-US" w:eastAsia="zh-CN"/>
        </w:rPr>
        <w:t>室不同病人的不同需求配置合理的陪护人员，要求每名陪护人员按照收取的陪护费对应</w:t>
      </w:r>
      <w:r>
        <w:rPr>
          <w:rFonts w:hint="eastAsia" w:ascii="Times New Roman" w:hAnsi="Times New Roman" w:cs="Times New Roman"/>
          <w:color w:val="auto"/>
          <w:highlight w:val="none"/>
          <w:lang w:val="en-US" w:eastAsia="zh-CN"/>
        </w:rPr>
        <w:t>人数</w:t>
      </w:r>
      <w:r>
        <w:rPr>
          <w:rFonts w:hint="default" w:ascii="Times New Roman" w:hAnsi="Times New Roman" w:cs="Times New Roman"/>
          <w:color w:val="auto"/>
          <w:highlight w:val="none"/>
          <w:lang w:val="en-US" w:eastAsia="zh-CN"/>
        </w:rPr>
        <w:t>照护患者，严禁超标准收取患者费用。</w:t>
      </w:r>
    </w:p>
    <w:p w14:paraId="7F2F6E6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（10）中标后签订合同前需向医院缴纳履约保证金</w:t>
      </w:r>
      <w:r>
        <w:rPr>
          <w:rFonts w:hint="default" w:ascii="Times New Roman" w:hAnsi="Times New Roman" w:cs="Times New Roman"/>
          <w:color w:val="auto"/>
          <w:highlight w:val="none"/>
          <w:lang w:val="en-US" w:eastAsia="zh-CN"/>
        </w:rPr>
        <w:t>5万元</w:t>
      </w:r>
      <w:r>
        <w:rPr>
          <w:rFonts w:hint="default" w:ascii="Times New Roman" w:hAnsi="Times New Roman" w:cs="Times New Roman"/>
          <w:color w:val="auto"/>
          <w:lang w:val="en-US" w:eastAsia="zh-CN"/>
        </w:rPr>
        <w:t>（户名：重庆市红十字会医院；开户行：工商银</w:t>
      </w:r>
      <w:r>
        <w:rPr>
          <w:rFonts w:hint="default" w:ascii="Times New Roman" w:hAnsi="Times New Roman" w:cs="Times New Roman"/>
          <w:color w:val="auto"/>
          <w:highlight w:val="none"/>
          <w:lang w:val="en-US" w:eastAsia="zh-CN"/>
        </w:rPr>
        <w:t>行建新东路支行；账号</w:t>
      </w:r>
      <w:r>
        <w:rPr>
          <w:rFonts w:hint="default" w:ascii="Times New Roman" w:hAnsi="Times New Roman" w:cs="Times New Roman"/>
          <w:color w:val="auto"/>
          <w:lang w:val="en-US" w:eastAsia="zh-CN"/>
        </w:rPr>
        <w:t>：3100022209024920644）。承诺成交供应商与其职工不得违反法律法规及医院规章制度，不得损害医院及患方的合法权益，不得延迟或拖欠护工劳动报酬，否则履约保证金将予以没收并终止合同；合作良好，未发现违法违规行为，合同期满后保证金将无息退还。</w:t>
      </w:r>
    </w:p>
    <w:p w14:paraId="5E936A06">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 专项管理要求</w:t>
      </w:r>
    </w:p>
    <w:p w14:paraId="211C820A">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（1）供应商须针对母婴陪护服务制定专门的管理制度和服务流程，明确母婴照护人员的工作职责、操作规范及考核标准。</w:t>
      </w:r>
    </w:p>
    <w:p w14:paraId="4ACEFDC7">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（2）供应商须在病区公示母婴陪护服务收费价目表，确保收费公开透明。收费标准须经采购人审核同意后执行。</w:t>
      </w:r>
    </w:p>
    <w:p w14:paraId="33C0A454">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（3）母婴陪护服务不得影响科室正常的医疗护理秩序，供应商应积极配合科室护士长的管理和指导。</w:t>
      </w:r>
    </w:p>
    <w:p w14:paraId="54C302EE">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（4）供应商须对母婴陪护人员进行专项培训（含新生儿急救常识、产妇产后出血观察、母乳喂养指导等），培训考核合格后方可上岗，培训记录须存档备查。</w:t>
      </w:r>
    </w:p>
    <w:p w14:paraId="606B7743">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（三）其他要求</w:t>
      </w:r>
    </w:p>
    <w:p w14:paraId="6004B1FF">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1.三无人员、无人照护的健康扶贫对象、无人照护的公共卫生事件对象、无人照护的其它特殊情况对象等患者，由科室提交资料和申请，递交主管部门审批后，免费提供陪护服务。</w:t>
      </w:r>
    </w:p>
    <w:p w14:paraId="00349E59">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auto"/>
          <w:lang w:val="en-US" w:eastAsia="zh-CN"/>
        </w:rPr>
        <w:t>2.其它无偿服务。</w:t>
      </w:r>
      <w:r>
        <w:rPr>
          <w:rFonts w:hint="default" w:ascii="Times New Roman" w:hAnsi="Times New Roman" w:cs="Times New Roman"/>
          <w:color w:val="000000" w:themeColor="text1"/>
          <w:highlight w:val="none"/>
          <w:lang w:val="en-US" w:eastAsia="zh-CN"/>
          <w14:textFill>
            <w14:solidFill>
              <w14:schemeClr w14:val="tx1"/>
            </w14:solidFill>
          </w14:textFill>
        </w:rPr>
        <w:t>供应商须根据采购人需求，向采购人提供辅助服务，承担非医疗性的日常辅助工作。科室辅助服务人员服从采购人的统一管理和工作安排。服务内容包括但不限于</w:t>
      </w:r>
      <w:r>
        <w:rPr>
          <w:rFonts w:hint="eastAsia" w:ascii="Times New Roman" w:hAnsi="Times New Roman" w:cs="Times New Roman"/>
          <w:color w:val="000000" w:themeColor="text1"/>
          <w:highlight w:val="none"/>
          <w:lang w:val="en-US" w:eastAsia="zh-CN"/>
          <w14:textFill>
            <w14:solidFill>
              <w14:schemeClr w14:val="tx1"/>
            </w14:solidFill>
          </w14:textFill>
        </w:rPr>
        <w:t>：</w:t>
      </w:r>
    </w:p>
    <w:p w14:paraId="67AA7DE7">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（1）协助护士完成晨晚间护理，铺床（备用床、麻醉床）、更换床单元物品、整理病床及床头柜；</w:t>
      </w:r>
    </w:p>
    <w:p w14:paraId="0FD1919C">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（2）协助病区加床、转床，协助手术病人过床；</w:t>
      </w:r>
    </w:p>
    <w:p w14:paraId="6DB1ADBE">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（3）每天为病人发放病号服，并根据病人实际需求随时提供病号服；</w:t>
      </w:r>
    </w:p>
    <w:p w14:paraId="0438BC07">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（4）协助病区进行急诊标本和药物领取及运送；</w:t>
      </w:r>
    </w:p>
    <w:p w14:paraId="33B54D42">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（5）协助病区做好病人探视管理及陪护管理；</w:t>
      </w:r>
    </w:p>
    <w:p w14:paraId="262C4A94">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（6）病区布类物资清点、交接及保管工作（含工作服、病号服、床单被套等）；</w:t>
      </w:r>
    </w:p>
    <w:p w14:paraId="16F17C44">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（7）护士长安排的其他非医疗性辅助工作；</w:t>
      </w:r>
    </w:p>
    <w:p w14:paraId="30AF74BC">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（8）协助科室运送物资及标本</w:t>
      </w:r>
      <w:r>
        <w:rPr>
          <w:rFonts w:hint="eastAsia" w:ascii="Times New Roman" w:hAnsi="Times New Roman" w:cs="Times New Roman"/>
          <w:color w:val="000000" w:themeColor="text1"/>
          <w:highlight w:val="none"/>
          <w:lang w:val="en-US" w:eastAsia="zh-CN"/>
          <w14:textFill>
            <w14:solidFill>
              <w14:schemeClr w14:val="tx1"/>
            </w14:solidFill>
          </w14:textFill>
        </w:rPr>
        <w:t>：</w:t>
      </w:r>
      <w:r>
        <w:rPr>
          <w:rFonts w:hint="default" w:ascii="Times New Roman" w:hAnsi="Times New Roman" w:cs="Times New Roman"/>
          <w:color w:val="000000" w:themeColor="text1"/>
          <w:highlight w:val="none"/>
          <w:lang w:val="en-US" w:eastAsia="zh-CN"/>
          <w14:textFill>
            <w14:solidFill>
              <w14:schemeClr w14:val="tx1"/>
            </w14:solidFill>
          </w14:textFill>
        </w:rPr>
        <w:t>为确保医院标本、血液制品、药品及急救物资等的及时运送，供应商需安排人员及时配合完成该项工作，尤其是当日18:00至次日8:00供应商须安排不少于1名值守人员；</w:t>
      </w:r>
    </w:p>
    <w:p w14:paraId="03CB1104">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（9）值守人员须熟悉医院各科室及病区位置，掌握标本运送流程及注意事项，能够在接到运送通知后10分钟内响应，及时、准确、安全地完成运送任务；</w:t>
      </w:r>
    </w:p>
    <w:p w14:paraId="756B8B19">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（10）值守人员应保持通讯畅通，服从临床科室的调度，不得擅自脱岗、离岗；</w:t>
      </w:r>
    </w:p>
    <w:p w14:paraId="5C92B867">
      <w:pPr>
        <w:pStyle w:val="14"/>
        <w:bidi w:val="0"/>
        <w:rPr>
          <w:rFonts w:hint="default" w:ascii="Times New Roman" w:hAnsi="Times New Roman" w:cs="Times New Roman"/>
          <w:color w:val="000000" w:themeColor="text1"/>
          <w:highlight w:val="none"/>
          <w:lang w:val="en-US" w:eastAsia="zh-CN"/>
          <w14:textFill>
            <w14:solidFill>
              <w14:schemeClr w14:val="tx1"/>
            </w14:solidFill>
          </w14:textFill>
        </w:rPr>
      </w:pPr>
      <w:r>
        <w:rPr>
          <w:rFonts w:hint="default" w:ascii="Times New Roman" w:hAnsi="Times New Roman" w:cs="Times New Roman"/>
          <w:color w:val="000000" w:themeColor="text1"/>
          <w:highlight w:val="none"/>
          <w:lang w:val="en-US" w:eastAsia="zh-CN"/>
          <w14:textFill>
            <w14:solidFill>
              <w14:schemeClr w14:val="tx1"/>
            </w14:solidFill>
          </w14:textFill>
        </w:rPr>
        <w:t>（11）若因供应商值守人员原因导致标本运送延误、丢失或损坏，造成不良后果的，由供应商承担全部责任。</w:t>
      </w:r>
    </w:p>
    <w:p w14:paraId="1B854F3E">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成交供应商应对其指派在采购人处从事陪护工作、陪护管理工作的人员签订劳动合同、进行技能培训、进行工作考核，成交供应商应向其指派在采购人处从事陪护工作、陪护管理工作的人员按时足额支付劳动报酬、</w:t>
      </w:r>
      <w:r>
        <w:rPr>
          <w:rFonts w:hint="default" w:ascii="Times New Roman" w:hAnsi="Times New Roman" w:cs="Times New Roman"/>
          <w:strike w:val="0"/>
          <w:dstrike w:val="0"/>
          <w:color w:val="auto"/>
          <w:lang w:val="en-US" w:eastAsia="zh-CN"/>
        </w:rPr>
        <w:t>参加社会保险并依法缴纳社会保险费</w:t>
      </w:r>
      <w:r>
        <w:rPr>
          <w:rFonts w:hint="default" w:ascii="Times New Roman" w:hAnsi="Times New Roman" w:cs="Times New Roman"/>
          <w:color w:val="auto"/>
          <w:lang w:val="en-US" w:eastAsia="zh-CN"/>
        </w:rPr>
        <w:t>等。成交供应商应对员工的陪护行为承担用人单位的责任。</w:t>
      </w:r>
    </w:p>
    <w:p w14:paraId="6DCBCD96">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4.成交供应商与患者直接签订陪护合同，收取陪护报酬，承担所有陪护责任与风险，并按时向采购人提供陪护人数清单及收费价格。</w:t>
      </w:r>
    </w:p>
    <w:p w14:paraId="3187F974">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5.成交供应商必须提供陪护管理与运行方案。</w:t>
      </w:r>
    </w:p>
    <w:p w14:paraId="153ADF52">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6.采购人只负责对成交供应商的业务进行指导、监督。</w:t>
      </w:r>
    </w:p>
    <w:p w14:paraId="70F19D1B">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lang w:val="en-US" w:eastAsia="zh-CN"/>
        </w:rPr>
        <w:t>7.成交供应商陪护服务收费要求（与患者及家属直接签订陪护合同，收取陪护服务劳动报酬）：服务类型及陪护费用按照医院、患者不同情况制定收费标准及收费制定原则，成交供应</w:t>
      </w:r>
      <w:r>
        <w:rPr>
          <w:rFonts w:hint="default" w:ascii="Times New Roman" w:hAnsi="Times New Roman" w:eastAsia="方正仿宋_GBK" w:cs="Times New Roman"/>
          <w:color w:val="auto"/>
          <w:kern w:val="2"/>
          <w:sz w:val="24"/>
          <w:szCs w:val="24"/>
          <w:lang w:val="en-US" w:eastAsia="zh-CN" w:bidi="ar-SA"/>
        </w:rPr>
        <w:t>商制定的收费标准需院方认可。原则上陪护收费标准不高于此：陪护服务价格以一对一≤200元/天、一对二陪护≤156元/人/天（患者数不超过2人）、一对三陪护≤135元/人/天（患者数不超过3人），一对多陪护（患者数不超过5人，含无陪护病房）≤11</w:t>
      </w:r>
      <w:r>
        <w:rPr>
          <w:rFonts w:hint="eastAsia" w:ascii="Times New Roman" w:hAnsi="Times New Roman" w:cs="Times New Roman"/>
          <w:color w:val="auto"/>
          <w:kern w:val="2"/>
          <w:sz w:val="24"/>
          <w:szCs w:val="24"/>
          <w:lang w:val="en-US" w:eastAsia="zh-CN" w:bidi="ar-SA"/>
        </w:rPr>
        <w:t>2</w:t>
      </w:r>
      <w:r>
        <w:rPr>
          <w:rFonts w:hint="default" w:ascii="Times New Roman" w:hAnsi="Times New Roman" w:eastAsia="方正仿宋_GBK" w:cs="Times New Roman"/>
          <w:color w:val="auto"/>
          <w:kern w:val="2"/>
          <w:sz w:val="24"/>
          <w:szCs w:val="24"/>
          <w:lang w:val="en-US" w:eastAsia="zh-CN" w:bidi="ar-SA"/>
        </w:rPr>
        <w:t>元/人/天为基准价。母婴陪护≤400元/人/天（一对一）。特殊患者（如经医院</w:t>
      </w:r>
      <w:r>
        <w:rPr>
          <w:rFonts w:hint="default" w:ascii="Times New Roman" w:hAnsi="Times New Roman" w:cs="Times New Roman"/>
          <w:color w:val="auto"/>
          <w:kern w:val="2"/>
          <w:sz w:val="24"/>
          <w:szCs w:val="24"/>
          <w:lang w:val="en-US" w:eastAsia="zh-CN" w:bidi="ar-SA"/>
        </w:rPr>
        <w:t>确诊</w:t>
      </w:r>
      <w:r>
        <w:rPr>
          <w:rFonts w:hint="default" w:ascii="Times New Roman" w:hAnsi="Times New Roman" w:eastAsia="方正仿宋_GBK" w:cs="Times New Roman"/>
          <w:color w:val="auto"/>
          <w:kern w:val="2"/>
          <w:sz w:val="24"/>
          <w:szCs w:val="24"/>
          <w:lang w:val="en-US" w:eastAsia="zh-CN" w:bidi="ar-SA"/>
        </w:rPr>
        <w:t>的传染性疾病、体重过重、严重老年痴呆等）陪护成交供应商以具体现场与陪护对象商议金额为准，原则上每天</w:t>
      </w:r>
      <w:r>
        <w:rPr>
          <w:rFonts w:hint="default" w:ascii="Times New Roman" w:hAnsi="Times New Roman" w:cs="Times New Roman"/>
          <w:color w:val="auto"/>
          <w:kern w:val="2"/>
          <w:sz w:val="24"/>
          <w:szCs w:val="24"/>
          <w:lang w:val="en-US" w:eastAsia="zh-CN" w:bidi="ar-SA"/>
        </w:rPr>
        <w:t>收费增加</w:t>
      </w:r>
      <w:r>
        <w:rPr>
          <w:rFonts w:hint="default" w:ascii="Times New Roman" w:hAnsi="Times New Roman" w:eastAsia="方正仿宋_GBK" w:cs="Times New Roman"/>
          <w:color w:val="auto"/>
          <w:kern w:val="2"/>
          <w:sz w:val="24"/>
          <w:szCs w:val="24"/>
          <w:lang w:val="en-US" w:eastAsia="zh-CN" w:bidi="ar-SA"/>
        </w:rPr>
        <w:t>不超过20元，收费标准在医院及临床各科室进行公示。医院职工本人享受八折优惠，职工家属（范围仅限职工父母、子女、配偶）享受八五折优惠。乙方不得以各种方式向病患及家属索要财物，乙方与患方签订的服务期限不得超出本协议期限。</w:t>
      </w:r>
    </w:p>
    <w:p w14:paraId="1262421A">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（四）医疗责任的界定</w:t>
      </w:r>
    </w:p>
    <w:p w14:paraId="10FF46ED">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1.发生不良事件时，由采购人与成交供应商共同派员进行沟通协商，界定相应责任，由当事人按照合同条款相应规定或相关管理规定承担相应责任。</w:t>
      </w:r>
    </w:p>
    <w:p w14:paraId="6E53C3F3">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成交供应商所聘用的人员在工作过程中，导致第三方受到伤害或利益受损等均由成交供应商负责处理，并承担全部法律责任及经济赔偿。成交供应商及所聘用的人员在工作中因各种原因受到伤害或发生意外的，由成交供应商负完全责任及经济赔偿。成交供应商及所聘用的人员违反法律法规及医院规章制度造成的损害及损失由成交供应商承担责任，采购人免责。</w:t>
      </w:r>
    </w:p>
    <w:p w14:paraId="407B92BC">
      <w:pPr>
        <w:pStyle w:val="14"/>
        <w:bidi w:val="0"/>
        <w:rPr>
          <w:rFonts w:hint="default" w:ascii="Times New Roman" w:hAnsi="Times New Roman" w:cs="Times New Roman"/>
          <w:color w:val="auto"/>
        </w:rPr>
      </w:pPr>
      <w:r>
        <w:rPr>
          <w:rFonts w:hint="default" w:ascii="Times New Roman" w:hAnsi="Times New Roman" w:cs="Times New Roman"/>
          <w:color w:val="auto"/>
          <w:lang w:val="en-US" w:eastAsia="zh-CN"/>
        </w:rPr>
        <w:t>（五）</w:t>
      </w:r>
      <w:r>
        <w:rPr>
          <w:rFonts w:hint="default" w:ascii="Times New Roman" w:hAnsi="Times New Roman" w:cs="Times New Roman"/>
          <w:color w:val="auto"/>
        </w:rPr>
        <w:t>改善服务要求</w:t>
      </w:r>
    </w:p>
    <w:p w14:paraId="5B7CB968">
      <w:pPr>
        <w:pStyle w:val="14"/>
        <w:bidi w:val="0"/>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.成交供应商</w:t>
      </w:r>
      <w:r>
        <w:rPr>
          <w:rFonts w:hint="default" w:ascii="Times New Roman" w:hAnsi="Times New Roman" w:cs="Times New Roman"/>
          <w:color w:val="auto"/>
        </w:rPr>
        <w:t>要负责处理与服务相关的病人</w:t>
      </w:r>
      <w:r>
        <w:rPr>
          <w:rFonts w:hint="default" w:ascii="Times New Roman" w:hAnsi="Times New Roman" w:cs="Times New Roman"/>
          <w:color w:val="auto"/>
          <w:lang w:val="en-US" w:eastAsia="zh-CN"/>
        </w:rPr>
        <w:t>意外事件</w:t>
      </w:r>
      <w:r>
        <w:rPr>
          <w:rFonts w:hint="default" w:ascii="Times New Roman" w:hAnsi="Times New Roman" w:cs="Times New Roman"/>
          <w:color w:val="auto"/>
        </w:rPr>
        <w:t>、投诉、纠纷及赔付，保证服务工作有序规范的稳健运行。</w:t>
      </w:r>
    </w:p>
    <w:p w14:paraId="7637C0B3">
      <w:pPr>
        <w:pStyle w:val="1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w:t>
      </w:r>
      <w:r>
        <w:rPr>
          <w:rFonts w:hint="default" w:ascii="Times New Roman" w:hAnsi="Times New Roman" w:cs="Times New Roman"/>
          <w:color w:val="auto"/>
          <w:highlight w:val="none"/>
          <w:lang w:val="en-US" w:eastAsia="zh-CN"/>
        </w:rPr>
        <w:t>.</w:t>
      </w:r>
      <w:r>
        <w:rPr>
          <w:rFonts w:hint="default" w:ascii="Times New Roman" w:hAnsi="Times New Roman" w:cs="Times New Roman"/>
          <w:color w:val="auto"/>
          <w:highlight w:val="none"/>
        </w:rPr>
        <w:t>日常管理：护理部及病区护士长，每年不少于4次满意度测评。</w:t>
      </w:r>
    </w:p>
    <w:p w14:paraId="44A20A3A">
      <w:pPr>
        <w:pStyle w:val="14"/>
        <w:bidi w:val="0"/>
        <w:rPr>
          <w:rFonts w:hint="default" w:ascii="Times New Roman" w:hAnsi="Times New Roman" w:cs="Times New Roman"/>
          <w:color w:val="auto"/>
          <w:highlight w:val="none"/>
        </w:rPr>
      </w:pPr>
      <w:r>
        <w:rPr>
          <w:rFonts w:hint="default" w:ascii="Times New Roman" w:hAnsi="Times New Roman" w:cs="Times New Roman"/>
          <w:color w:val="auto"/>
          <w:highlight w:val="none"/>
          <w:lang w:val="en-US" w:eastAsia="zh-CN"/>
        </w:rPr>
        <w:t>3.</w:t>
      </w:r>
      <w:r>
        <w:rPr>
          <w:rFonts w:hint="default" w:ascii="Times New Roman" w:hAnsi="Times New Roman" w:cs="Times New Roman"/>
          <w:color w:val="auto"/>
          <w:highlight w:val="none"/>
        </w:rPr>
        <w:t>考核周期：采购人对成交供应商的服务质量实行定期考核制度，每季度进行一次季度考核，每年进行一次年度综合考核。季度考核标准详见</w:t>
      </w:r>
      <w:r>
        <w:rPr>
          <w:rFonts w:hint="eastAsia" w:ascii="Times New Roman" w:hAnsi="Times New Roman" w:cs="Times New Roman"/>
          <w:color w:val="auto"/>
          <w:highlight w:val="none"/>
          <w:lang w:val="en-US" w:eastAsia="zh-CN"/>
        </w:rPr>
        <w:t>表一</w:t>
      </w:r>
      <w:r>
        <w:rPr>
          <w:rFonts w:hint="default" w:ascii="Times New Roman" w:hAnsi="Times New Roman" w:cs="Times New Roman"/>
          <w:color w:val="auto"/>
          <w:highlight w:val="none"/>
        </w:rPr>
        <w:t>《住院患者陪护考核标准表（季度）》，年度考核标准详见</w:t>
      </w:r>
      <w:r>
        <w:rPr>
          <w:rFonts w:hint="eastAsia" w:ascii="Times New Roman" w:hAnsi="Times New Roman" w:cs="Times New Roman"/>
          <w:color w:val="auto"/>
          <w:highlight w:val="none"/>
          <w:lang w:val="en-US" w:eastAsia="zh-CN"/>
        </w:rPr>
        <w:t>表二</w:t>
      </w:r>
      <w:r>
        <w:rPr>
          <w:rFonts w:hint="default" w:ascii="Times New Roman" w:hAnsi="Times New Roman" w:cs="Times New Roman"/>
          <w:color w:val="auto"/>
          <w:highlight w:val="none"/>
        </w:rPr>
        <w:t>《住院患者陪护考核标准表（年度）》。年度综合考核得分低于80分的，不予续签下一年度合同。</w:t>
      </w:r>
    </w:p>
    <w:p w14:paraId="5D8C6333">
      <w:pPr>
        <w:pStyle w:val="14"/>
        <w:bidi w:val="0"/>
        <w:rPr>
          <w:rFonts w:hint="default" w:ascii="Times New Roman" w:hAnsi="Times New Roman" w:eastAsia="仿宋" w:cs="Times New Roman"/>
          <w:b w:val="0"/>
          <w:bCs w:val="0"/>
          <w:color w:val="auto"/>
          <w:sz w:val="24"/>
          <w:szCs w:val="24"/>
          <w:lang w:eastAsia="zh-CN"/>
        </w:rPr>
      </w:pPr>
      <w:r>
        <w:rPr>
          <w:rFonts w:hint="default" w:ascii="Times New Roman" w:hAnsi="Times New Roman" w:cs="Times New Roman"/>
          <w:color w:val="auto"/>
          <w:lang w:val="en-US" w:eastAsia="zh-CN"/>
        </w:rPr>
        <w:t>4.</w:t>
      </w:r>
      <w:r>
        <w:rPr>
          <w:rFonts w:hint="default" w:ascii="Times New Roman" w:hAnsi="Times New Roman" w:cs="Times New Roman"/>
          <w:color w:val="auto"/>
          <w:lang w:eastAsia="zh-CN"/>
        </w:rPr>
        <w:t>成交供应商</w:t>
      </w:r>
      <w:r>
        <w:rPr>
          <w:rFonts w:hint="default" w:ascii="Times New Roman" w:hAnsi="Times New Roman" w:cs="Times New Roman"/>
          <w:color w:val="auto"/>
        </w:rPr>
        <w:t>定期进行满意度测评，了解医院各部门的要求，及时调整服务策略。</w:t>
      </w:r>
    </w:p>
    <w:p w14:paraId="31BAE608">
      <w:pPr>
        <w:pStyle w:val="14"/>
        <w:bidi w:val="0"/>
        <w:jc w:val="center"/>
        <w:rPr>
          <w:rFonts w:hint="default" w:ascii="Times New Roman" w:hAnsi="Times New Roman" w:eastAsia="方正黑体_GBK" w:cs="Times New Roman"/>
          <w:b w:val="0"/>
          <w:bCs w:val="0"/>
          <w:color w:val="auto"/>
          <w:lang w:eastAsia="zh-CN"/>
        </w:rPr>
      </w:pPr>
      <w:r>
        <w:rPr>
          <w:rFonts w:hint="default" w:ascii="Times New Roman" w:hAnsi="Times New Roman" w:eastAsia="方正黑体_GBK" w:cs="Times New Roman"/>
          <w:b w:val="0"/>
          <w:bCs w:val="0"/>
          <w:color w:val="auto"/>
          <w:lang w:val="en-US" w:eastAsia="zh-CN"/>
        </w:rPr>
        <w:t>表一：</w:t>
      </w:r>
      <w:r>
        <w:rPr>
          <w:rFonts w:hint="default" w:ascii="Times New Roman" w:hAnsi="Times New Roman" w:eastAsia="方正黑体_GBK" w:cs="Times New Roman"/>
          <w:b w:val="0"/>
          <w:bCs w:val="0"/>
          <w:color w:val="auto"/>
          <w:lang w:eastAsia="zh-CN"/>
        </w:rPr>
        <w:t>住院患者陪护</w:t>
      </w:r>
      <w:r>
        <w:rPr>
          <w:rFonts w:hint="default" w:ascii="Times New Roman" w:hAnsi="Times New Roman" w:eastAsia="方正黑体_GBK" w:cs="Times New Roman"/>
          <w:b w:val="0"/>
          <w:bCs w:val="0"/>
          <w:color w:val="auto"/>
        </w:rPr>
        <w:t>考核标准</w:t>
      </w:r>
      <w:r>
        <w:rPr>
          <w:rFonts w:hint="default" w:ascii="Times New Roman" w:hAnsi="Times New Roman" w:eastAsia="方正黑体_GBK" w:cs="Times New Roman"/>
          <w:b w:val="0"/>
          <w:bCs w:val="0"/>
          <w:color w:val="auto"/>
          <w:lang w:val="en-US" w:eastAsia="zh-CN"/>
        </w:rPr>
        <w:t>表</w:t>
      </w:r>
      <w:r>
        <w:rPr>
          <w:rFonts w:hint="default" w:ascii="Times New Roman" w:hAnsi="Times New Roman" w:eastAsia="方正黑体_GBK" w:cs="Times New Roman"/>
          <w:b w:val="0"/>
          <w:bCs w:val="0"/>
          <w:color w:val="auto"/>
          <w:lang w:eastAsia="zh-CN"/>
        </w:rPr>
        <w:t>（</w:t>
      </w:r>
      <w:r>
        <w:rPr>
          <w:rFonts w:hint="default" w:ascii="Times New Roman" w:hAnsi="Times New Roman" w:eastAsia="方正黑体_GBK" w:cs="Times New Roman"/>
          <w:b w:val="0"/>
          <w:bCs w:val="0"/>
          <w:color w:val="auto"/>
          <w:lang w:val="en-US" w:eastAsia="zh-CN"/>
        </w:rPr>
        <w:t>季度</w:t>
      </w:r>
      <w:r>
        <w:rPr>
          <w:rFonts w:hint="default" w:ascii="Times New Roman" w:hAnsi="Times New Roman" w:eastAsia="方正黑体_GBK" w:cs="Times New Roman"/>
          <w:b w:val="0"/>
          <w:bCs w:val="0"/>
          <w:color w:val="auto"/>
          <w:lang w:eastAsia="zh-CN"/>
        </w:rPr>
        <w:t>）</w:t>
      </w:r>
    </w:p>
    <w:tbl>
      <w:tblPr>
        <w:tblStyle w:val="10"/>
        <w:tblpPr w:leftFromText="180" w:rightFromText="180" w:vertAnchor="text" w:horzAnchor="page" w:tblpX="1032" w:tblpY="217"/>
        <w:tblOverlap w:val="never"/>
        <w:tblW w:w="99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1575"/>
        <w:gridCol w:w="5560"/>
        <w:gridCol w:w="1310"/>
        <w:gridCol w:w="705"/>
      </w:tblGrid>
      <w:tr w14:paraId="7CB1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768" w:type="dxa"/>
            <w:noWrap w:val="0"/>
            <w:vAlign w:val="top"/>
          </w:tcPr>
          <w:p w14:paraId="08A6A445">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序号</w:t>
            </w:r>
          </w:p>
        </w:tc>
        <w:tc>
          <w:tcPr>
            <w:tcW w:w="1575" w:type="dxa"/>
            <w:noWrap w:val="0"/>
            <w:vAlign w:val="top"/>
          </w:tcPr>
          <w:p w14:paraId="7EAFDE2A">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检查项目/分值</w:t>
            </w:r>
          </w:p>
        </w:tc>
        <w:tc>
          <w:tcPr>
            <w:tcW w:w="5560" w:type="dxa"/>
            <w:noWrap w:val="0"/>
            <w:vAlign w:val="top"/>
          </w:tcPr>
          <w:p w14:paraId="1DE8CC38">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检查内容</w:t>
            </w:r>
          </w:p>
        </w:tc>
        <w:tc>
          <w:tcPr>
            <w:tcW w:w="1310" w:type="dxa"/>
            <w:noWrap w:val="0"/>
            <w:vAlign w:val="top"/>
          </w:tcPr>
          <w:p w14:paraId="01FE8E35">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检查情况</w:t>
            </w:r>
          </w:p>
        </w:tc>
        <w:tc>
          <w:tcPr>
            <w:tcW w:w="705" w:type="dxa"/>
            <w:noWrap w:val="0"/>
            <w:vAlign w:val="top"/>
          </w:tcPr>
          <w:p w14:paraId="47566D3F">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扣分</w:t>
            </w:r>
          </w:p>
        </w:tc>
      </w:tr>
      <w:tr w14:paraId="40141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6" w:hRule="atLeast"/>
        </w:trPr>
        <w:tc>
          <w:tcPr>
            <w:tcW w:w="768" w:type="dxa"/>
            <w:vMerge w:val="restart"/>
            <w:noWrap w:val="0"/>
            <w:vAlign w:val="top"/>
          </w:tcPr>
          <w:p w14:paraId="6A13B2AA">
            <w:pPr>
              <w:jc w:val="center"/>
              <w:rPr>
                <w:rFonts w:hint="default" w:ascii="Times New Roman" w:hAnsi="Times New Roman" w:eastAsia="仿宋" w:cs="Times New Roman"/>
                <w:sz w:val="24"/>
                <w:highlight w:val="none"/>
              </w:rPr>
            </w:pPr>
          </w:p>
          <w:p w14:paraId="149030DA">
            <w:pPr>
              <w:jc w:val="center"/>
              <w:rPr>
                <w:rFonts w:hint="default" w:ascii="Times New Roman" w:hAnsi="Times New Roman" w:eastAsia="仿宋" w:cs="Times New Roman"/>
                <w:sz w:val="24"/>
                <w:highlight w:val="none"/>
              </w:rPr>
            </w:pPr>
          </w:p>
          <w:p w14:paraId="51AA7DF4">
            <w:pPr>
              <w:jc w:val="center"/>
              <w:rPr>
                <w:rFonts w:hint="default" w:ascii="Times New Roman" w:hAnsi="Times New Roman" w:eastAsia="仿宋" w:cs="Times New Roman"/>
                <w:sz w:val="24"/>
                <w:highlight w:val="none"/>
              </w:rPr>
            </w:pPr>
          </w:p>
          <w:p w14:paraId="3C168735">
            <w:pPr>
              <w:jc w:val="center"/>
              <w:rPr>
                <w:rFonts w:hint="default" w:ascii="Times New Roman" w:hAnsi="Times New Roman" w:eastAsia="仿宋" w:cs="Times New Roman"/>
                <w:sz w:val="24"/>
                <w:highlight w:val="none"/>
              </w:rPr>
            </w:pPr>
          </w:p>
          <w:p w14:paraId="7BDAB4B2">
            <w:pPr>
              <w:jc w:val="center"/>
              <w:rPr>
                <w:rFonts w:hint="default" w:ascii="Times New Roman" w:hAnsi="Times New Roman" w:eastAsia="仿宋" w:cs="Times New Roman"/>
                <w:sz w:val="24"/>
                <w:highlight w:val="none"/>
              </w:rPr>
            </w:pPr>
          </w:p>
          <w:p w14:paraId="7B6C2B02">
            <w:pPr>
              <w:ind w:firstLine="240" w:firstLineChars="100"/>
              <w:jc w:val="both"/>
              <w:rPr>
                <w:rFonts w:hint="default" w:ascii="Times New Roman" w:hAnsi="Times New Roman" w:eastAsia="仿宋" w:cs="Times New Roman"/>
                <w:sz w:val="24"/>
                <w:highlight w:val="none"/>
              </w:rPr>
            </w:pPr>
          </w:p>
          <w:p w14:paraId="36A7F928">
            <w:pPr>
              <w:ind w:firstLine="240" w:firstLineChars="100"/>
              <w:jc w:val="both"/>
              <w:rPr>
                <w:rFonts w:hint="default" w:ascii="Times New Roman" w:hAnsi="Times New Roman" w:eastAsia="仿宋" w:cs="Times New Roman"/>
                <w:sz w:val="24"/>
                <w:highlight w:val="none"/>
              </w:rPr>
            </w:pPr>
          </w:p>
          <w:p w14:paraId="56F7B280">
            <w:pPr>
              <w:ind w:firstLine="240" w:firstLineChars="100"/>
              <w:jc w:val="both"/>
              <w:rPr>
                <w:rFonts w:hint="default" w:ascii="Times New Roman" w:hAnsi="Times New Roman" w:eastAsia="仿宋" w:cs="Times New Roman"/>
                <w:sz w:val="24"/>
                <w:highlight w:val="none"/>
              </w:rPr>
            </w:pPr>
          </w:p>
          <w:p w14:paraId="1F3445F4">
            <w:pPr>
              <w:ind w:firstLine="240" w:firstLineChars="100"/>
              <w:jc w:val="both"/>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1</w:t>
            </w:r>
          </w:p>
        </w:tc>
        <w:tc>
          <w:tcPr>
            <w:tcW w:w="1575" w:type="dxa"/>
            <w:vMerge w:val="restart"/>
            <w:noWrap w:val="0"/>
            <w:vAlign w:val="top"/>
          </w:tcPr>
          <w:p w14:paraId="76EE87D2">
            <w:pPr>
              <w:rPr>
                <w:rFonts w:hint="default" w:ascii="Times New Roman" w:hAnsi="Times New Roman" w:eastAsia="仿宋" w:cs="Times New Roman"/>
                <w:sz w:val="24"/>
                <w:highlight w:val="none"/>
              </w:rPr>
            </w:pPr>
          </w:p>
          <w:p w14:paraId="6463A73C">
            <w:pPr>
              <w:rPr>
                <w:rFonts w:hint="default" w:ascii="Times New Roman" w:hAnsi="Times New Roman" w:eastAsia="仿宋" w:cs="Times New Roman"/>
                <w:sz w:val="24"/>
                <w:highlight w:val="none"/>
              </w:rPr>
            </w:pPr>
          </w:p>
          <w:p w14:paraId="633F2EBE">
            <w:pPr>
              <w:rPr>
                <w:rFonts w:hint="default" w:ascii="Times New Roman" w:hAnsi="Times New Roman" w:eastAsia="仿宋" w:cs="Times New Roman"/>
                <w:sz w:val="24"/>
                <w:highlight w:val="none"/>
              </w:rPr>
            </w:pPr>
          </w:p>
          <w:p w14:paraId="18C68EAB">
            <w:pPr>
              <w:rPr>
                <w:rFonts w:hint="default" w:ascii="Times New Roman" w:hAnsi="Times New Roman" w:eastAsia="仿宋" w:cs="Times New Roman"/>
                <w:sz w:val="24"/>
                <w:highlight w:val="none"/>
              </w:rPr>
            </w:pPr>
          </w:p>
          <w:p w14:paraId="112E4E8D">
            <w:pPr>
              <w:rPr>
                <w:rFonts w:hint="default" w:ascii="Times New Roman" w:hAnsi="Times New Roman" w:eastAsia="仿宋" w:cs="Times New Roman"/>
                <w:sz w:val="24"/>
                <w:highlight w:val="none"/>
              </w:rPr>
            </w:pPr>
          </w:p>
          <w:p w14:paraId="4066B42C">
            <w:pPr>
              <w:adjustRightInd w:val="0"/>
              <w:snapToGrid w:val="0"/>
              <w:spacing w:line="240" w:lineRule="auto"/>
              <w:rPr>
                <w:rFonts w:hint="default" w:ascii="Times New Roman" w:hAnsi="Times New Roman" w:eastAsia="方正仿宋_GBK" w:cs="Times New Roman"/>
                <w:b w:val="0"/>
                <w:bCs w:val="0"/>
                <w:color w:val="auto"/>
                <w:sz w:val="21"/>
                <w:szCs w:val="21"/>
              </w:rPr>
            </w:pPr>
          </w:p>
          <w:p w14:paraId="08C6BE89">
            <w:pPr>
              <w:adjustRightInd w:val="0"/>
              <w:snapToGrid w:val="0"/>
              <w:spacing w:line="240" w:lineRule="auto"/>
              <w:rPr>
                <w:rFonts w:hint="default" w:ascii="Times New Roman" w:hAnsi="Times New Roman" w:eastAsia="方正仿宋_GBK" w:cs="Times New Roman"/>
                <w:b w:val="0"/>
                <w:bCs w:val="0"/>
                <w:color w:val="auto"/>
                <w:sz w:val="21"/>
                <w:szCs w:val="21"/>
              </w:rPr>
            </w:pPr>
          </w:p>
          <w:p w14:paraId="54274960">
            <w:pPr>
              <w:adjustRightInd w:val="0"/>
              <w:snapToGrid w:val="0"/>
              <w:spacing w:line="240" w:lineRule="auto"/>
              <w:rPr>
                <w:rFonts w:hint="default" w:ascii="Times New Roman" w:hAnsi="Times New Roman" w:eastAsia="方正仿宋_GBK" w:cs="Times New Roman"/>
                <w:b w:val="0"/>
                <w:bCs w:val="0"/>
                <w:color w:val="auto"/>
                <w:sz w:val="21"/>
                <w:szCs w:val="21"/>
              </w:rPr>
            </w:pPr>
          </w:p>
          <w:p w14:paraId="2EA2997A">
            <w:pPr>
              <w:adjustRightInd w:val="0"/>
              <w:snapToGrid w:val="0"/>
              <w:spacing w:line="240" w:lineRule="auto"/>
              <w:rPr>
                <w:rFonts w:hint="default" w:ascii="Times New Roman" w:hAnsi="Times New Roman" w:eastAsia="仿宋" w:cs="Times New Roman"/>
                <w:sz w:val="24"/>
                <w:highlight w:val="none"/>
              </w:rPr>
            </w:pPr>
            <w:r>
              <w:rPr>
                <w:rFonts w:hint="default" w:ascii="Times New Roman" w:hAnsi="Times New Roman" w:eastAsia="方正仿宋_GBK" w:cs="Times New Roman"/>
                <w:b w:val="0"/>
                <w:bCs w:val="0"/>
                <w:color w:val="auto"/>
                <w:sz w:val="21"/>
                <w:szCs w:val="21"/>
              </w:rPr>
              <w:t>人员资质与基础管理（</w:t>
            </w:r>
            <w:r>
              <w:rPr>
                <w:rFonts w:hint="eastAsia" w:eastAsia="方正仿宋_GBK" w:cs="Times New Roman"/>
                <w:b w:val="0"/>
                <w:bCs w:val="0"/>
                <w:color w:val="auto"/>
                <w:sz w:val="21"/>
                <w:szCs w:val="21"/>
                <w:lang w:val="en-US" w:eastAsia="zh-CN"/>
              </w:rPr>
              <w:t>3</w:t>
            </w:r>
            <w:r>
              <w:rPr>
                <w:rFonts w:hint="default" w:ascii="Times New Roman" w:hAnsi="Times New Roman" w:eastAsia="方正仿宋_GBK" w:cs="Times New Roman"/>
                <w:b w:val="0"/>
                <w:bCs w:val="0"/>
                <w:color w:val="auto"/>
                <w:sz w:val="21"/>
                <w:szCs w:val="21"/>
              </w:rPr>
              <w:t>0分）</w:t>
            </w:r>
          </w:p>
        </w:tc>
        <w:tc>
          <w:tcPr>
            <w:tcW w:w="5560" w:type="dxa"/>
            <w:noWrap w:val="0"/>
            <w:vAlign w:val="top"/>
          </w:tcPr>
          <w:p w14:paraId="7E50289E">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护工准入资质：所有护工均持有有效健康证明（近1年内体检报告，含传染病筛查），缺1人扣2分；新入职护工需通过岗前培训考核（含医院制度、院感防控、基础护理技能），考核不合格上岗1人扣3分；无证或证件过期1人扣2分。</w:t>
            </w:r>
          </w:p>
        </w:tc>
        <w:tc>
          <w:tcPr>
            <w:tcW w:w="1310" w:type="dxa"/>
            <w:noWrap w:val="0"/>
            <w:vAlign w:val="top"/>
          </w:tcPr>
          <w:p w14:paraId="7D74334D">
            <w:pPr>
              <w:rPr>
                <w:rFonts w:hint="default" w:ascii="Times New Roman" w:hAnsi="Times New Roman" w:eastAsia="仿宋" w:cs="Times New Roman"/>
                <w:sz w:val="24"/>
                <w:highlight w:val="none"/>
              </w:rPr>
            </w:pPr>
          </w:p>
        </w:tc>
        <w:tc>
          <w:tcPr>
            <w:tcW w:w="705" w:type="dxa"/>
            <w:noWrap w:val="0"/>
            <w:vAlign w:val="top"/>
          </w:tcPr>
          <w:p w14:paraId="4A73F632">
            <w:pPr>
              <w:rPr>
                <w:rFonts w:hint="default" w:ascii="Times New Roman" w:hAnsi="Times New Roman" w:eastAsia="仿宋" w:cs="Times New Roman"/>
                <w:sz w:val="24"/>
                <w:highlight w:val="none"/>
              </w:rPr>
            </w:pPr>
          </w:p>
        </w:tc>
      </w:tr>
      <w:tr w14:paraId="732BE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68" w:type="dxa"/>
            <w:vMerge w:val="continue"/>
            <w:noWrap w:val="0"/>
            <w:vAlign w:val="top"/>
          </w:tcPr>
          <w:p w14:paraId="584B60A6">
            <w:pPr>
              <w:jc w:val="center"/>
              <w:rPr>
                <w:rFonts w:hint="default" w:ascii="Times New Roman" w:hAnsi="Times New Roman" w:eastAsia="仿宋" w:cs="Times New Roman"/>
                <w:sz w:val="24"/>
                <w:highlight w:val="none"/>
              </w:rPr>
            </w:pPr>
          </w:p>
        </w:tc>
        <w:tc>
          <w:tcPr>
            <w:tcW w:w="1575" w:type="dxa"/>
            <w:vMerge w:val="continue"/>
            <w:noWrap w:val="0"/>
            <w:vAlign w:val="top"/>
          </w:tcPr>
          <w:p w14:paraId="0EC19701">
            <w:pPr>
              <w:rPr>
                <w:rFonts w:hint="default" w:ascii="Times New Roman" w:hAnsi="Times New Roman" w:eastAsia="仿宋" w:cs="Times New Roman"/>
                <w:sz w:val="24"/>
                <w:highlight w:val="none"/>
              </w:rPr>
            </w:pPr>
          </w:p>
        </w:tc>
        <w:tc>
          <w:tcPr>
            <w:tcW w:w="5560" w:type="dxa"/>
            <w:noWrap w:val="0"/>
            <w:vAlign w:val="top"/>
          </w:tcPr>
          <w:p w14:paraId="227ADF63">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严格遵守院科相关规章制度，不迟到、早退，严格考勤和请假制度：发现违规一次扣</w:t>
            </w:r>
            <w:r>
              <w:rPr>
                <w:rFonts w:hint="eastAsia" w:eastAsia="方正仿宋_GBK" w:cs="Times New Roman"/>
                <w:b w:val="0"/>
                <w:bCs w:val="0"/>
                <w:color w:val="auto"/>
                <w:sz w:val="21"/>
                <w:szCs w:val="21"/>
                <w:lang w:val="en-US" w:eastAsia="zh-CN"/>
              </w:rPr>
              <w:t>3</w:t>
            </w:r>
            <w:r>
              <w:rPr>
                <w:rFonts w:hint="default" w:ascii="Times New Roman" w:hAnsi="Times New Roman" w:eastAsia="方正仿宋_GBK" w:cs="Times New Roman"/>
                <w:b w:val="0"/>
                <w:bCs w:val="0"/>
                <w:color w:val="auto"/>
                <w:sz w:val="21"/>
                <w:szCs w:val="21"/>
                <w:lang w:val="en-US" w:eastAsia="zh-CN"/>
              </w:rPr>
              <w:t>分。</w:t>
            </w:r>
          </w:p>
        </w:tc>
        <w:tc>
          <w:tcPr>
            <w:tcW w:w="1310" w:type="dxa"/>
            <w:noWrap w:val="0"/>
            <w:vAlign w:val="top"/>
          </w:tcPr>
          <w:p w14:paraId="2B1EB46C">
            <w:pPr>
              <w:rPr>
                <w:rFonts w:hint="default" w:ascii="Times New Roman" w:hAnsi="Times New Roman" w:eastAsia="仿宋" w:cs="Times New Roman"/>
                <w:sz w:val="24"/>
                <w:highlight w:val="none"/>
              </w:rPr>
            </w:pPr>
          </w:p>
        </w:tc>
        <w:tc>
          <w:tcPr>
            <w:tcW w:w="705" w:type="dxa"/>
            <w:noWrap w:val="0"/>
            <w:vAlign w:val="top"/>
          </w:tcPr>
          <w:p w14:paraId="1ECF7E5F">
            <w:pPr>
              <w:rPr>
                <w:rFonts w:hint="default" w:ascii="Times New Roman" w:hAnsi="Times New Roman" w:eastAsia="仿宋" w:cs="Times New Roman"/>
                <w:sz w:val="24"/>
                <w:highlight w:val="none"/>
              </w:rPr>
            </w:pPr>
          </w:p>
        </w:tc>
      </w:tr>
      <w:tr w14:paraId="0F699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trPr>
        <w:tc>
          <w:tcPr>
            <w:tcW w:w="768" w:type="dxa"/>
            <w:vMerge w:val="continue"/>
            <w:noWrap w:val="0"/>
            <w:vAlign w:val="top"/>
          </w:tcPr>
          <w:p w14:paraId="55AE7D22">
            <w:pPr>
              <w:jc w:val="center"/>
              <w:rPr>
                <w:rFonts w:hint="default" w:ascii="Times New Roman" w:hAnsi="Times New Roman" w:eastAsia="仿宋" w:cs="Times New Roman"/>
                <w:sz w:val="24"/>
                <w:highlight w:val="none"/>
              </w:rPr>
            </w:pPr>
          </w:p>
        </w:tc>
        <w:tc>
          <w:tcPr>
            <w:tcW w:w="1575" w:type="dxa"/>
            <w:vMerge w:val="continue"/>
            <w:noWrap w:val="0"/>
            <w:vAlign w:val="top"/>
          </w:tcPr>
          <w:p w14:paraId="0F687A1E">
            <w:pPr>
              <w:rPr>
                <w:rFonts w:hint="default" w:ascii="Times New Roman" w:hAnsi="Times New Roman" w:eastAsia="仿宋" w:cs="Times New Roman"/>
                <w:sz w:val="24"/>
                <w:highlight w:val="none"/>
              </w:rPr>
            </w:pPr>
          </w:p>
        </w:tc>
        <w:tc>
          <w:tcPr>
            <w:tcW w:w="5560" w:type="dxa"/>
            <w:noWrap w:val="0"/>
            <w:vAlign w:val="top"/>
          </w:tcPr>
          <w:p w14:paraId="053C88E4">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着装统一、礼仪、礼貌及隐私保护：着装不规范发现一次扣2分；与患者发生争吵一次扣5分；泄露患者隐私一次扣</w:t>
            </w:r>
            <w:r>
              <w:rPr>
                <w:rFonts w:hint="eastAsia" w:eastAsia="方正仿宋_GBK" w:cs="Times New Roman"/>
                <w:b w:val="0"/>
                <w:bCs w:val="0"/>
                <w:color w:val="auto"/>
                <w:sz w:val="21"/>
                <w:szCs w:val="21"/>
                <w:lang w:val="en-US" w:eastAsia="zh-CN"/>
              </w:rPr>
              <w:t>5</w:t>
            </w:r>
            <w:r>
              <w:rPr>
                <w:rFonts w:hint="default" w:ascii="Times New Roman" w:hAnsi="Times New Roman" w:eastAsia="方正仿宋_GBK" w:cs="Times New Roman"/>
                <w:b w:val="0"/>
                <w:bCs w:val="0"/>
                <w:color w:val="auto"/>
                <w:sz w:val="21"/>
                <w:szCs w:val="21"/>
                <w:lang w:val="en-US" w:eastAsia="zh-CN"/>
              </w:rPr>
              <w:t>分。</w:t>
            </w:r>
          </w:p>
        </w:tc>
        <w:tc>
          <w:tcPr>
            <w:tcW w:w="1310" w:type="dxa"/>
            <w:noWrap w:val="0"/>
            <w:vAlign w:val="top"/>
          </w:tcPr>
          <w:p w14:paraId="25BEEFD8">
            <w:pPr>
              <w:rPr>
                <w:rFonts w:hint="default" w:ascii="Times New Roman" w:hAnsi="Times New Roman" w:eastAsia="仿宋" w:cs="Times New Roman"/>
                <w:sz w:val="24"/>
                <w:highlight w:val="none"/>
              </w:rPr>
            </w:pPr>
          </w:p>
        </w:tc>
        <w:tc>
          <w:tcPr>
            <w:tcW w:w="705" w:type="dxa"/>
            <w:noWrap w:val="0"/>
            <w:vAlign w:val="top"/>
          </w:tcPr>
          <w:p w14:paraId="5021FADD">
            <w:pPr>
              <w:rPr>
                <w:rFonts w:hint="default" w:ascii="Times New Roman" w:hAnsi="Times New Roman" w:eastAsia="仿宋" w:cs="Times New Roman"/>
                <w:sz w:val="24"/>
                <w:highlight w:val="none"/>
              </w:rPr>
            </w:pPr>
          </w:p>
        </w:tc>
      </w:tr>
      <w:tr w14:paraId="1EB48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68" w:type="dxa"/>
            <w:vMerge w:val="continue"/>
            <w:noWrap w:val="0"/>
            <w:vAlign w:val="top"/>
          </w:tcPr>
          <w:p w14:paraId="61205372">
            <w:pPr>
              <w:jc w:val="center"/>
              <w:rPr>
                <w:rFonts w:hint="default" w:ascii="Times New Roman" w:hAnsi="Times New Roman" w:eastAsia="仿宋" w:cs="Times New Roman"/>
                <w:sz w:val="24"/>
                <w:highlight w:val="none"/>
              </w:rPr>
            </w:pPr>
          </w:p>
        </w:tc>
        <w:tc>
          <w:tcPr>
            <w:tcW w:w="1575" w:type="dxa"/>
            <w:vMerge w:val="continue"/>
            <w:noWrap w:val="0"/>
            <w:vAlign w:val="top"/>
          </w:tcPr>
          <w:p w14:paraId="649E1441">
            <w:pPr>
              <w:rPr>
                <w:rFonts w:hint="default" w:ascii="Times New Roman" w:hAnsi="Times New Roman" w:eastAsia="仿宋" w:cs="Times New Roman"/>
                <w:sz w:val="24"/>
                <w:highlight w:val="none"/>
              </w:rPr>
            </w:pPr>
          </w:p>
        </w:tc>
        <w:tc>
          <w:tcPr>
            <w:tcW w:w="5560" w:type="dxa"/>
            <w:noWrap w:val="0"/>
            <w:vAlign w:val="top"/>
          </w:tcPr>
          <w:p w14:paraId="5906BAB0">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配合患者治疗方案，不得在病区兜售物品及其他导致医院及科室名誉受损的事件：发现违规一次扣</w:t>
            </w:r>
            <w:r>
              <w:rPr>
                <w:rFonts w:hint="eastAsia" w:eastAsia="方正仿宋_GBK" w:cs="Times New Roman"/>
                <w:b w:val="0"/>
                <w:bCs w:val="0"/>
                <w:color w:val="auto"/>
                <w:sz w:val="21"/>
                <w:szCs w:val="21"/>
                <w:lang w:val="en-US" w:eastAsia="zh-CN"/>
              </w:rPr>
              <w:t>5</w:t>
            </w:r>
            <w:r>
              <w:rPr>
                <w:rFonts w:hint="default" w:ascii="Times New Roman" w:hAnsi="Times New Roman" w:eastAsia="方正仿宋_GBK" w:cs="Times New Roman"/>
                <w:b w:val="0"/>
                <w:bCs w:val="0"/>
                <w:color w:val="auto"/>
                <w:sz w:val="21"/>
                <w:szCs w:val="21"/>
                <w:lang w:val="en-US" w:eastAsia="zh-CN"/>
              </w:rPr>
              <w:t>分。</w:t>
            </w:r>
          </w:p>
        </w:tc>
        <w:tc>
          <w:tcPr>
            <w:tcW w:w="1310" w:type="dxa"/>
            <w:noWrap w:val="0"/>
            <w:vAlign w:val="top"/>
          </w:tcPr>
          <w:p w14:paraId="7FF3B4DA">
            <w:pPr>
              <w:rPr>
                <w:rFonts w:hint="default" w:ascii="Times New Roman" w:hAnsi="Times New Roman" w:eastAsia="仿宋" w:cs="Times New Roman"/>
                <w:sz w:val="24"/>
                <w:highlight w:val="none"/>
              </w:rPr>
            </w:pPr>
          </w:p>
        </w:tc>
        <w:tc>
          <w:tcPr>
            <w:tcW w:w="705" w:type="dxa"/>
            <w:noWrap w:val="0"/>
            <w:vAlign w:val="top"/>
          </w:tcPr>
          <w:p w14:paraId="39C822F4">
            <w:pPr>
              <w:rPr>
                <w:rFonts w:hint="default" w:ascii="Times New Roman" w:hAnsi="Times New Roman" w:eastAsia="仿宋" w:cs="Times New Roman"/>
                <w:sz w:val="24"/>
                <w:highlight w:val="none"/>
              </w:rPr>
            </w:pPr>
          </w:p>
        </w:tc>
      </w:tr>
      <w:tr w14:paraId="63350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768" w:type="dxa"/>
            <w:vMerge w:val="continue"/>
            <w:noWrap w:val="0"/>
            <w:vAlign w:val="top"/>
          </w:tcPr>
          <w:p w14:paraId="27187E99">
            <w:pPr>
              <w:jc w:val="center"/>
              <w:rPr>
                <w:rFonts w:hint="default" w:ascii="Times New Roman" w:hAnsi="Times New Roman" w:eastAsia="仿宋" w:cs="Times New Roman"/>
                <w:sz w:val="24"/>
                <w:highlight w:val="none"/>
              </w:rPr>
            </w:pPr>
          </w:p>
        </w:tc>
        <w:tc>
          <w:tcPr>
            <w:tcW w:w="1575" w:type="dxa"/>
            <w:vMerge w:val="continue"/>
            <w:noWrap w:val="0"/>
            <w:vAlign w:val="top"/>
          </w:tcPr>
          <w:p w14:paraId="4DCCA012">
            <w:pPr>
              <w:rPr>
                <w:rFonts w:hint="default" w:ascii="Times New Roman" w:hAnsi="Times New Roman" w:eastAsia="仿宋" w:cs="Times New Roman"/>
                <w:sz w:val="24"/>
                <w:highlight w:val="none"/>
              </w:rPr>
            </w:pPr>
          </w:p>
        </w:tc>
        <w:tc>
          <w:tcPr>
            <w:tcW w:w="5560" w:type="dxa"/>
            <w:noWrap w:val="0"/>
            <w:vAlign w:val="top"/>
          </w:tcPr>
          <w:p w14:paraId="66FBCDA9">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服从科室及护士长的安排，未被患者有效投诉，与医务人员友好相处，不当患者面与医务人员起争执或冲突，不服从安排扣</w:t>
            </w:r>
            <w:r>
              <w:rPr>
                <w:rFonts w:hint="eastAsia" w:eastAsia="方正仿宋_GBK" w:cs="Times New Roman"/>
                <w:b w:val="0"/>
                <w:bCs w:val="0"/>
                <w:color w:val="auto"/>
                <w:sz w:val="21"/>
                <w:szCs w:val="21"/>
                <w:lang w:val="en-US" w:eastAsia="zh-CN"/>
              </w:rPr>
              <w:t>8</w:t>
            </w:r>
            <w:r>
              <w:rPr>
                <w:rFonts w:hint="default" w:ascii="Times New Roman" w:hAnsi="Times New Roman" w:eastAsia="方正仿宋_GBK" w:cs="Times New Roman"/>
                <w:b w:val="0"/>
                <w:bCs w:val="0"/>
                <w:color w:val="auto"/>
                <w:sz w:val="21"/>
                <w:szCs w:val="21"/>
                <w:lang w:val="en-US" w:eastAsia="zh-CN"/>
              </w:rPr>
              <w:t>分。</w:t>
            </w:r>
          </w:p>
        </w:tc>
        <w:tc>
          <w:tcPr>
            <w:tcW w:w="1310" w:type="dxa"/>
            <w:noWrap w:val="0"/>
            <w:vAlign w:val="top"/>
          </w:tcPr>
          <w:p w14:paraId="13049033">
            <w:pPr>
              <w:rPr>
                <w:rFonts w:hint="default" w:ascii="Times New Roman" w:hAnsi="Times New Roman" w:eastAsia="仿宋" w:cs="Times New Roman"/>
                <w:sz w:val="24"/>
                <w:highlight w:val="none"/>
              </w:rPr>
            </w:pPr>
          </w:p>
        </w:tc>
        <w:tc>
          <w:tcPr>
            <w:tcW w:w="705" w:type="dxa"/>
            <w:noWrap w:val="0"/>
            <w:vAlign w:val="top"/>
          </w:tcPr>
          <w:p w14:paraId="609FDF64">
            <w:pPr>
              <w:rPr>
                <w:rFonts w:hint="default" w:ascii="Times New Roman" w:hAnsi="Times New Roman" w:eastAsia="仿宋" w:cs="Times New Roman"/>
                <w:sz w:val="24"/>
                <w:highlight w:val="none"/>
              </w:rPr>
            </w:pPr>
          </w:p>
        </w:tc>
      </w:tr>
      <w:tr w14:paraId="459EA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768" w:type="dxa"/>
            <w:vMerge w:val="restart"/>
            <w:noWrap w:val="0"/>
            <w:vAlign w:val="top"/>
          </w:tcPr>
          <w:p w14:paraId="7EA1DB14">
            <w:pPr>
              <w:ind w:firstLine="240" w:firstLineChars="100"/>
              <w:jc w:val="center"/>
              <w:rPr>
                <w:rFonts w:hint="default" w:ascii="Times New Roman" w:hAnsi="Times New Roman" w:eastAsia="仿宋" w:cs="Times New Roman"/>
                <w:sz w:val="24"/>
                <w:highlight w:val="none"/>
              </w:rPr>
            </w:pPr>
          </w:p>
          <w:p w14:paraId="5BD9C385">
            <w:pPr>
              <w:ind w:firstLine="480" w:firstLineChars="200"/>
              <w:jc w:val="center"/>
              <w:rPr>
                <w:rFonts w:hint="default" w:ascii="Times New Roman" w:hAnsi="Times New Roman" w:eastAsia="仿宋" w:cs="Times New Roman"/>
                <w:sz w:val="24"/>
                <w:highlight w:val="none"/>
              </w:rPr>
            </w:pPr>
          </w:p>
          <w:p w14:paraId="1BEAE362">
            <w:pPr>
              <w:ind w:firstLine="480" w:firstLineChars="200"/>
              <w:jc w:val="center"/>
              <w:rPr>
                <w:rFonts w:hint="default" w:ascii="Times New Roman" w:hAnsi="Times New Roman" w:eastAsia="仿宋" w:cs="Times New Roman"/>
                <w:sz w:val="24"/>
                <w:highlight w:val="none"/>
              </w:rPr>
            </w:pPr>
          </w:p>
          <w:p w14:paraId="6C03A973">
            <w:pPr>
              <w:ind w:firstLine="480" w:firstLineChars="200"/>
              <w:jc w:val="center"/>
              <w:rPr>
                <w:rFonts w:hint="default" w:ascii="Times New Roman" w:hAnsi="Times New Roman" w:eastAsia="仿宋" w:cs="Times New Roman"/>
                <w:sz w:val="24"/>
                <w:highlight w:val="none"/>
              </w:rPr>
            </w:pPr>
          </w:p>
          <w:p w14:paraId="012403E2">
            <w:pPr>
              <w:ind w:firstLine="480" w:firstLineChars="200"/>
              <w:jc w:val="center"/>
              <w:rPr>
                <w:rFonts w:hint="default" w:ascii="Times New Roman" w:hAnsi="Times New Roman" w:eastAsia="仿宋" w:cs="Times New Roman"/>
                <w:sz w:val="24"/>
                <w:highlight w:val="none"/>
              </w:rPr>
            </w:pPr>
          </w:p>
          <w:p w14:paraId="4B094733">
            <w:pPr>
              <w:ind w:firstLine="240" w:firstLineChars="100"/>
              <w:jc w:val="both"/>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2</w:t>
            </w:r>
          </w:p>
        </w:tc>
        <w:tc>
          <w:tcPr>
            <w:tcW w:w="1575" w:type="dxa"/>
            <w:vMerge w:val="restart"/>
            <w:noWrap w:val="0"/>
            <w:vAlign w:val="top"/>
          </w:tcPr>
          <w:p w14:paraId="470CCE01">
            <w:pPr>
              <w:rPr>
                <w:rFonts w:hint="default" w:ascii="Times New Roman" w:hAnsi="Times New Roman" w:eastAsia="仿宋" w:cs="Times New Roman"/>
                <w:sz w:val="24"/>
                <w:highlight w:val="none"/>
              </w:rPr>
            </w:pPr>
          </w:p>
          <w:p w14:paraId="1F3BAE2F">
            <w:pPr>
              <w:rPr>
                <w:rFonts w:hint="default" w:ascii="Times New Roman" w:hAnsi="Times New Roman" w:eastAsia="仿宋" w:cs="Times New Roman"/>
                <w:sz w:val="24"/>
                <w:highlight w:val="none"/>
              </w:rPr>
            </w:pPr>
          </w:p>
          <w:p w14:paraId="03B8F765">
            <w:pPr>
              <w:rPr>
                <w:rFonts w:hint="default" w:ascii="Times New Roman" w:hAnsi="Times New Roman" w:eastAsia="仿宋" w:cs="Times New Roman"/>
                <w:sz w:val="24"/>
                <w:highlight w:val="none"/>
              </w:rPr>
            </w:pPr>
          </w:p>
          <w:p w14:paraId="049689D4">
            <w:pPr>
              <w:rPr>
                <w:rFonts w:hint="default" w:ascii="Times New Roman" w:hAnsi="Times New Roman" w:eastAsia="仿宋" w:cs="Times New Roman"/>
                <w:sz w:val="24"/>
                <w:highlight w:val="none"/>
              </w:rPr>
            </w:pPr>
          </w:p>
          <w:p w14:paraId="39287841">
            <w:pPr>
              <w:rPr>
                <w:rFonts w:hint="default" w:ascii="Times New Roman" w:hAnsi="Times New Roman" w:eastAsia="仿宋" w:cs="Times New Roman"/>
                <w:sz w:val="24"/>
                <w:highlight w:val="none"/>
              </w:rPr>
            </w:pPr>
          </w:p>
          <w:p w14:paraId="37C851FE">
            <w:pPr>
              <w:adjustRightInd w:val="0"/>
              <w:snapToGrid w:val="0"/>
              <w:spacing w:line="240" w:lineRule="auto"/>
              <w:rPr>
                <w:rFonts w:hint="default" w:ascii="Times New Roman" w:hAnsi="Times New Roman" w:eastAsia="仿宋" w:cs="Times New Roman"/>
                <w:sz w:val="24"/>
                <w:highlight w:val="none"/>
              </w:rPr>
            </w:pPr>
            <w:r>
              <w:rPr>
                <w:rFonts w:hint="default" w:ascii="Times New Roman" w:hAnsi="Times New Roman" w:eastAsia="方正仿宋_GBK" w:cs="Times New Roman"/>
                <w:b w:val="0"/>
                <w:bCs w:val="0"/>
                <w:color w:val="auto"/>
                <w:sz w:val="21"/>
                <w:szCs w:val="21"/>
              </w:rPr>
              <w:t>服务规范与操作标准（30分）</w:t>
            </w:r>
          </w:p>
        </w:tc>
        <w:tc>
          <w:tcPr>
            <w:tcW w:w="5560" w:type="dxa"/>
            <w:noWrap w:val="0"/>
            <w:vAlign w:val="top"/>
          </w:tcPr>
          <w:p w14:paraId="1467E725">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生活照护服务：按标准流程执行患者清洁，操作不规范1例扣2分；特殊患者照护（如昏迷、留置管路患者）需遵循床头交接班制度，无记录或漏交1次扣3分。</w:t>
            </w:r>
          </w:p>
          <w:p w14:paraId="5E51A9B0">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陪检服务及时率≥95%，未按时陪同检查1次扣2分（特殊情况需提前与科室沟通）。</w:t>
            </w:r>
          </w:p>
          <w:p w14:paraId="736070C9">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病人三短六洁、无异味，床单元整洁、</w:t>
            </w:r>
            <w:r>
              <w:rPr>
                <w:rFonts w:hint="default" w:ascii="Times New Roman" w:hAnsi="Times New Roman" w:eastAsia="方正仿宋_GBK" w:cs="Times New Roman"/>
                <w:b w:val="0"/>
                <w:bCs w:val="0"/>
                <w:color w:val="auto"/>
                <w:sz w:val="21"/>
                <w:szCs w:val="21"/>
                <w:highlight w:val="none"/>
                <w:lang w:val="en-US" w:eastAsia="zh-CN"/>
              </w:rPr>
              <w:t>衣裤清洁</w:t>
            </w:r>
            <w:r>
              <w:rPr>
                <w:rFonts w:hint="eastAsia" w:eastAsia="方正仿宋_GBK" w:cs="Times New Roman"/>
                <w:b w:val="0"/>
                <w:bCs w:val="0"/>
                <w:color w:val="auto"/>
                <w:sz w:val="21"/>
                <w:szCs w:val="21"/>
                <w:highlight w:val="none"/>
                <w:lang w:val="en-US" w:eastAsia="zh-CN"/>
              </w:rPr>
              <w:t>，</w:t>
            </w:r>
            <w:r>
              <w:rPr>
                <w:rFonts w:hint="default" w:ascii="Times New Roman" w:hAnsi="Times New Roman" w:eastAsia="方正仿宋_GBK" w:cs="Times New Roman"/>
                <w:b w:val="0"/>
                <w:bCs w:val="0"/>
                <w:color w:val="auto"/>
                <w:sz w:val="21"/>
                <w:szCs w:val="21"/>
                <w:highlight w:val="none"/>
              </w:rPr>
              <w:t>母乳喂养指导、新生儿抚触、脐部护理等操作规范，不规范1例扣2分</w:t>
            </w:r>
            <w:r>
              <w:rPr>
                <w:rFonts w:hint="default" w:ascii="Times New Roman" w:hAnsi="Times New Roman" w:eastAsia="方正仿宋_GBK" w:cs="Times New Roman"/>
                <w:b w:val="0"/>
                <w:bCs w:val="0"/>
                <w:color w:val="auto"/>
                <w:sz w:val="21"/>
                <w:szCs w:val="21"/>
                <w:highlight w:val="none"/>
                <w:lang w:val="en-US" w:eastAsia="zh-CN"/>
              </w:rPr>
              <w:t>。</w:t>
            </w:r>
          </w:p>
        </w:tc>
        <w:tc>
          <w:tcPr>
            <w:tcW w:w="1310" w:type="dxa"/>
            <w:noWrap w:val="0"/>
            <w:vAlign w:val="top"/>
          </w:tcPr>
          <w:p w14:paraId="4EA4E9F6">
            <w:pPr>
              <w:rPr>
                <w:rFonts w:hint="default" w:ascii="Times New Roman" w:hAnsi="Times New Roman" w:eastAsia="仿宋" w:cs="Times New Roman"/>
                <w:sz w:val="24"/>
                <w:highlight w:val="none"/>
              </w:rPr>
            </w:pPr>
          </w:p>
        </w:tc>
        <w:tc>
          <w:tcPr>
            <w:tcW w:w="705" w:type="dxa"/>
            <w:noWrap w:val="0"/>
            <w:vAlign w:val="top"/>
          </w:tcPr>
          <w:p w14:paraId="552158EE">
            <w:pPr>
              <w:rPr>
                <w:rFonts w:hint="default" w:ascii="Times New Roman" w:hAnsi="Times New Roman" w:eastAsia="仿宋" w:cs="Times New Roman"/>
                <w:sz w:val="24"/>
                <w:highlight w:val="none"/>
              </w:rPr>
            </w:pPr>
          </w:p>
        </w:tc>
      </w:tr>
      <w:tr w14:paraId="2C635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768" w:type="dxa"/>
            <w:vMerge w:val="continue"/>
            <w:noWrap w:val="0"/>
            <w:vAlign w:val="top"/>
          </w:tcPr>
          <w:p w14:paraId="24E723A9">
            <w:pPr>
              <w:jc w:val="center"/>
              <w:rPr>
                <w:rFonts w:hint="default" w:ascii="Times New Roman" w:hAnsi="Times New Roman" w:eastAsia="仿宋" w:cs="Times New Roman"/>
                <w:sz w:val="24"/>
                <w:highlight w:val="none"/>
              </w:rPr>
            </w:pPr>
          </w:p>
        </w:tc>
        <w:tc>
          <w:tcPr>
            <w:tcW w:w="1575" w:type="dxa"/>
            <w:vMerge w:val="continue"/>
            <w:noWrap w:val="0"/>
            <w:vAlign w:val="top"/>
          </w:tcPr>
          <w:p w14:paraId="3C11605A">
            <w:pPr>
              <w:rPr>
                <w:rFonts w:hint="default" w:ascii="Times New Roman" w:hAnsi="Times New Roman" w:eastAsia="仿宋" w:cs="Times New Roman"/>
                <w:sz w:val="24"/>
                <w:highlight w:val="none"/>
              </w:rPr>
            </w:pPr>
          </w:p>
        </w:tc>
        <w:tc>
          <w:tcPr>
            <w:tcW w:w="5560" w:type="dxa"/>
            <w:noWrap w:val="0"/>
            <w:vAlign w:val="top"/>
          </w:tcPr>
          <w:p w14:paraId="524779C5">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沟通与人文关怀：护工使用文明用语，禁止态度冷漠或与患者/家属争吵，发现1例扣5分；主动关注患者心理需求（如陪聊、协助联系家属），未落实到位1例扣2分。</w:t>
            </w:r>
          </w:p>
        </w:tc>
        <w:tc>
          <w:tcPr>
            <w:tcW w:w="1310" w:type="dxa"/>
            <w:noWrap w:val="0"/>
            <w:vAlign w:val="top"/>
          </w:tcPr>
          <w:p w14:paraId="0D5A1026">
            <w:pPr>
              <w:rPr>
                <w:rFonts w:hint="default" w:ascii="Times New Roman" w:hAnsi="Times New Roman" w:eastAsia="仿宋" w:cs="Times New Roman"/>
                <w:sz w:val="24"/>
                <w:highlight w:val="none"/>
              </w:rPr>
            </w:pPr>
          </w:p>
        </w:tc>
        <w:tc>
          <w:tcPr>
            <w:tcW w:w="705" w:type="dxa"/>
            <w:noWrap w:val="0"/>
            <w:vAlign w:val="top"/>
          </w:tcPr>
          <w:p w14:paraId="00BD7DF4">
            <w:pPr>
              <w:rPr>
                <w:rFonts w:hint="default" w:ascii="Times New Roman" w:hAnsi="Times New Roman" w:eastAsia="仿宋" w:cs="Times New Roman"/>
                <w:sz w:val="24"/>
                <w:highlight w:val="none"/>
              </w:rPr>
            </w:pPr>
          </w:p>
        </w:tc>
      </w:tr>
      <w:tr w14:paraId="1F58F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768" w:type="dxa"/>
            <w:vMerge w:val="continue"/>
            <w:noWrap w:val="0"/>
            <w:vAlign w:val="top"/>
          </w:tcPr>
          <w:p w14:paraId="014C478E">
            <w:pPr>
              <w:jc w:val="center"/>
              <w:rPr>
                <w:rFonts w:hint="default" w:ascii="Times New Roman" w:hAnsi="Times New Roman" w:eastAsia="仿宋" w:cs="Times New Roman"/>
                <w:sz w:val="24"/>
                <w:highlight w:val="none"/>
              </w:rPr>
            </w:pPr>
          </w:p>
        </w:tc>
        <w:tc>
          <w:tcPr>
            <w:tcW w:w="1575" w:type="dxa"/>
            <w:vMerge w:val="continue"/>
            <w:noWrap w:val="0"/>
            <w:vAlign w:val="top"/>
          </w:tcPr>
          <w:p w14:paraId="712FB554">
            <w:pPr>
              <w:rPr>
                <w:rFonts w:hint="default" w:ascii="Times New Roman" w:hAnsi="Times New Roman" w:eastAsia="仿宋" w:cs="Times New Roman"/>
                <w:sz w:val="24"/>
                <w:highlight w:val="none"/>
              </w:rPr>
            </w:pPr>
          </w:p>
        </w:tc>
        <w:tc>
          <w:tcPr>
            <w:tcW w:w="5560" w:type="dxa"/>
            <w:noWrap w:val="0"/>
            <w:vAlign w:val="top"/>
          </w:tcPr>
          <w:p w14:paraId="033C6538">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不得向患者及家属私自收取服务费用，不得向患者及家属暗示或索要钱、物，不乱吃患者食物，不占用患者东西：发现一次扣5分。</w:t>
            </w:r>
          </w:p>
        </w:tc>
        <w:tc>
          <w:tcPr>
            <w:tcW w:w="1310" w:type="dxa"/>
            <w:noWrap w:val="0"/>
            <w:vAlign w:val="top"/>
          </w:tcPr>
          <w:p w14:paraId="0DE5A3F6">
            <w:pPr>
              <w:rPr>
                <w:rFonts w:hint="default" w:ascii="Times New Roman" w:hAnsi="Times New Roman" w:eastAsia="仿宋" w:cs="Times New Roman"/>
                <w:sz w:val="24"/>
                <w:highlight w:val="none"/>
              </w:rPr>
            </w:pPr>
          </w:p>
        </w:tc>
        <w:tc>
          <w:tcPr>
            <w:tcW w:w="705" w:type="dxa"/>
            <w:noWrap w:val="0"/>
            <w:vAlign w:val="top"/>
          </w:tcPr>
          <w:p w14:paraId="12DEB9BA">
            <w:pPr>
              <w:rPr>
                <w:rFonts w:hint="default" w:ascii="Times New Roman" w:hAnsi="Times New Roman" w:eastAsia="仿宋" w:cs="Times New Roman"/>
                <w:sz w:val="24"/>
                <w:highlight w:val="none"/>
              </w:rPr>
            </w:pPr>
          </w:p>
        </w:tc>
      </w:tr>
      <w:tr w14:paraId="35FEF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trPr>
        <w:tc>
          <w:tcPr>
            <w:tcW w:w="768" w:type="dxa"/>
            <w:vMerge w:val="restart"/>
            <w:noWrap w:val="0"/>
            <w:vAlign w:val="top"/>
          </w:tcPr>
          <w:p w14:paraId="0AAA990A">
            <w:pPr>
              <w:ind w:firstLine="480" w:firstLineChars="200"/>
              <w:jc w:val="center"/>
              <w:rPr>
                <w:rFonts w:hint="default" w:ascii="Times New Roman" w:hAnsi="Times New Roman" w:eastAsia="仿宋" w:cs="Times New Roman"/>
                <w:sz w:val="24"/>
                <w:highlight w:val="none"/>
              </w:rPr>
            </w:pPr>
          </w:p>
          <w:p w14:paraId="5C70012A">
            <w:pPr>
              <w:ind w:firstLine="480" w:firstLineChars="200"/>
              <w:jc w:val="center"/>
              <w:rPr>
                <w:rFonts w:hint="default" w:ascii="Times New Roman" w:hAnsi="Times New Roman" w:eastAsia="仿宋" w:cs="Times New Roman"/>
                <w:sz w:val="24"/>
                <w:highlight w:val="none"/>
              </w:rPr>
            </w:pPr>
          </w:p>
          <w:p w14:paraId="03F402DD">
            <w:pPr>
              <w:ind w:firstLine="480" w:firstLineChars="200"/>
              <w:jc w:val="center"/>
              <w:rPr>
                <w:rFonts w:hint="default" w:ascii="Times New Roman" w:hAnsi="Times New Roman" w:eastAsia="仿宋" w:cs="Times New Roman"/>
                <w:sz w:val="24"/>
                <w:highlight w:val="none"/>
              </w:rPr>
            </w:pPr>
          </w:p>
          <w:p w14:paraId="6120F486">
            <w:pPr>
              <w:ind w:firstLine="480" w:firstLineChars="200"/>
              <w:jc w:val="center"/>
              <w:rPr>
                <w:rFonts w:hint="default" w:ascii="Times New Roman" w:hAnsi="Times New Roman" w:eastAsia="仿宋" w:cs="Times New Roman"/>
                <w:sz w:val="24"/>
                <w:highlight w:val="none"/>
              </w:rPr>
            </w:pPr>
          </w:p>
          <w:p w14:paraId="06A2370B">
            <w:pPr>
              <w:ind w:firstLine="480" w:firstLineChars="200"/>
              <w:jc w:val="center"/>
              <w:rPr>
                <w:rFonts w:hint="default" w:ascii="Times New Roman" w:hAnsi="Times New Roman" w:eastAsia="仿宋" w:cs="Times New Roman"/>
                <w:sz w:val="24"/>
                <w:highlight w:val="none"/>
              </w:rPr>
            </w:pPr>
          </w:p>
          <w:p w14:paraId="731D9C97">
            <w:pPr>
              <w:ind w:firstLine="240" w:firstLineChars="100"/>
              <w:jc w:val="both"/>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3</w:t>
            </w:r>
          </w:p>
        </w:tc>
        <w:tc>
          <w:tcPr>
            <w:tcW w:w="1575" w:type="dxa"/>
            <w:vMerge w:val="restart"/>
            <w:noWrap w:val="0"/>
            <w:vAlign w:val="top"/>
          </w:tcPr>
          <w:p w14:paraId="722A7FFC">
            <w:pPr>
              <w:adjustRightInd w:val="0"/>
              <w:snapToGrid w:val="0"/>
              <w:spacing w:line="240" w:lineRule="auto"/>
              <w:rPr>
                <w:rFonts w:hint="default" w:ascii="Times New Roman" w:hAnsi="Times New Roman" w:eastAsia="方正仿宋_GBK" w:cs="Times New Roman"/>
                <w:b w:val="0"/>
                <w:bCs w:val="0"/>
                <w:color w:val="auto"/>
                <w:sz w:val="21"/>
                <w:szCs w:val="21"/>
              </w:rPr>
            </w:pPr>
          </w:p>
          <w:p w14:paraId="50B27021">
            <w:pPr>
              <w:adjustRightInd w:val="0"/>
              <w:snapToGrid w:val="0"/>
              <w:spacing w:line="240" w:lineRule="auto"/>
              <w:rPr>
                <w:rFonts w:hint="default" w:ascii="Times New Roman" w:hAnsi="Times New Roman" w:eastAsia="方正仿宋_GBK" w:cs="Times New Roman"/>
                <w:b w:val="0"/>
                <w:bCs w:val="0"/>
                <w:color w:val="auto"/>
                <w:sz w:val="21"/>
                <w:szCs w:val="21"/>
              </w:rPr>
            </w:pPr>
          </w:p>
          <w:p w14:paraId="6BDC18F8">
            <w:pPr>
              <w:adjustRightInd w:val="0"/>
              <w:snapToGrid w:val="0"/>
              <w:spacing w:line="240" w:lineRule="auto"/>
              <w:rPr>
                <w:rFonts w:hint="default" w:ascii="Times New Roman" w:hAnsi="Times New Roman" w:eastAsia="方正仿宋_GBK" w:cs="Times New Roman"/>
                <w:b w:val="0"/>
                <w:bCs w:val="0"/>
                <w:color w:val="auto"/>
                <w:sz w:val="21"/>
                <w:szCs w:val="21"/>
              </w:rPr>
            </w:pPr>
          </w:p>
          <w:p w14:paraId="63043CDB">
            <w:pPr>
              <w:adjustRightInd w:val="0"/>
              <w:snapToGrid w:val="0"/>
              <w:spacing w:line="240" w:lineRule="auto"/>
              <w:rPr>
                <w:rFonts w:hint="default" w:ascii="Times New Roman" w:hAnsi="Times New Roman" w:eastAsia="方正仿宋_GBK" w:cs="Times New Roman"/>
                <w:b w:val="0"/>
                <w:bCs w:val="0"/>
                <w:color w:val="auto"/>
                <w:sz w:val="21"/>
                <w:szCs w:val="21"/>
              </w:rPr>
            </w:pPr>
          </w:p>
          <w:p w14:paraId="7ECB4DFE">
            <w:pPr>
              <w:adjustRightInd w:val="0"/>
              <w:snapToGrid w:val="0"/>
              <w:spacing w:line="240" w:lineRule="auto"/>
              <w:rPr>
                <w:rFonts w:hint="default" w:ascii="Times New Roman" w:hAnsi="Times New Roman" w:eastAsia="方正仿宋_GBK" w:cs="Times New Roman"/>
                <w:b w:val="0"/>
                <w:bCs w:val="0"/>
                <w:color w:val="auto"/>
                <w:sz w:val="21"/>
                <w:szCs w:val="21"/>
              </w:rPr>
            </w:pPr>
          </w:p>
          <w:p w14:paraId="4EE85877">
            <w:pPr>
              <w:adjustRightInd w:val="0"/>
              <w:snapToGrid w:val="0"/>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安全与风险管理（20分）</w:t>
            </w:r>
          </w:p>
        </w:tc>
        <w:tc>
          <w:tcPr>
            <w:tcW w:w="5560" w:type="dxa"/>
            <w:noWrap w:val="0"/>
            <w:vAlign w:val="top"/>
          </w:tcPr>
          <w:p w14:paraId="3C45CE62">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院感防控执行：护工正确佩戴口罩、手套等防护用品，未规范使用1人扣2分；手卫生执行率≥90%，每低5%扣2分；污区与清洁区物品分开存放，垃圾按医疗废物分类处理，违规1处扣3分。</w:t>
            </w:r>
          </w:p>
        </w:tc>
        <w:tc>
          <w:tcPr>
            <w:tcW w:w="1310" w:type="dxa"/>
            <w:noWrap w:val="0"/>
            <w:vAlign w:val="top"/>
          </w:tcPr>
          <w:p w14:paraId="593065D0">
            <w:pPr>
              <w:rPr>
                <w:rFonts w:hint="default" w:ascii="Times New Roman" w:hAnsi="Times New Roman" w:eastAsia="仿宋" w:cs="Times New Roman"/>
                <w:sz w:val="24"/>
                <w:highlight w:val="none"/>
              </w:rPr>
            </w:pPr>
          </w:p>
        </w:tc>
        <w:tc>
          <w:tcPr>
            <w:tcW w:w="705" w:type="dxa"/>
            <w:noWrap w:val="0"/>
            <w:vAlign w:val="top"/>
          </w:tcPr>
          <w:p w14:paraId="78BD2347">
            <w:pPr>
              <w:rPr>
                <w:rFonts w:hint="default" w:ascii="Times New Roman" w:hAnsi="Times New Roman" w:eastAsia="仿宋" w:cs="Times New Roman"/>
                <w:sz w:val="24"/>
                <w:highlight w:val="none"/>
              </w:rPr>
            </w:pPr>
          </w:p>
        </w:tc>
      </w:tr>
      <w:tr w14:paraId="6A57D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89" w:hRule="atLeast"/>
        </w:trPr>
        <w:tc>
          <w:tcPr>
            <w:tcW w:w="768" w:type="dxa"/>
            <w:vMerge w:val="continue"/>
            <w:noWrap w:val="0"/>
            <w:vAlign w:val="top"/>
          </w:tcPr>
          <w:p w14:paraId="6DE8E355">
            <w:pPr>
              <w:ind w:firstLine="480" w:firstLineChars="200"/>
              <w:jc w:val="center"/>
              <w:rPr>
                <w:rFonts w:hint="default" w:ascii="Times New Roman" w:hAnsi="Times New Roman" w:eastAsia="仿宋" w:cs="Times New Roman"/>
                <w:sz w:val="24"/>
                <w:highlight w:val="none"/>
              </w:rPr>
            </w:pPr>
          </w:p>
        </w:tc>
        <w:tc>
          <w:tcPr>
            <w:tcW w:w="1575" w:type="dxa"/>
            <w:vMerge w:val="continue"/>
            <w:noWrap w:val="0"/>
            <w:vAlign w:val="top"/>
          </w:tcPr>
          <w:p w14:paraId="770BA877">
            <w:pPr>
              <w:adjustRightInd w:val="0"/>
              <w:snapToGrid w:val="0"/>
              <w:spacing w:line="240" w:lineRule="auto"/>
              <w:rPr>
                <w:rFonts w:hint="default" w:ascii="Times New Roman" w:hAnsi="Times New Roman" w:eastAsia="方正仿宋_GBK" w:cs="Times New Roman"/>
                <w:b w:val="0"/>
                <w:bCs w:val="0"/>
                <w:color w:val="auto"/>
                <w:sz w:val="21"/>
                <w:szCs w:val="21"/>
              </w:rPr>
            </w:pPr>
          </w:p>
        </w:tc>
        <w:tc>
          <w:tcPr>
            <w:tcW w:w="5560" w:type="dxa"/>
            <w:noWrap w:val="0"/>
            <w:vAlign w:val="top"/>
          </w:tcPr>
          <w:p w14:paraId="7B1D6F04">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安全隐患防范：高危患者（如跌倒高风险、精神异常）落实防护措施（如床栏保护、专人看护），未落实1例扣2分；护工掌握应急处理流程（如患者突发跌倒、心跳骤停时的呼叫与初步处置），现场考核不合格1人扣2分；</w:t>
            </w:r>
          </w:p>
          <w:p w14:paraId="6227E822">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禁止擅自执行医疗操作（如给药、吸痰等），发现1例扣10分。</w:t>
            </w:r>
          </w:p>
        </w:tc>
        <w:tc>
          <w:tcPr>
            <w:tcW w:w="1310" w:type="dxa"/>
            <w:noWrap w:val="0"/>
            <w:vAlign w:val="top"/>
          </w:tcPr>
          <w:p w14:paraId="584C2BCB">
            <w:pPr>
              <w:rPr>
                <w:rFonts w:hint="default" w:ascii="Times New Roman" w:hAnsi="Times New Roman" w:eastAsia="仿宋" w:cs="Times New Roman"/>
                <w:sz w:val="24"/>
                <w:highlight w:val="none"/>
              </w:rPr>
            </w:pPr>
          </w:p>
        </w:tc>
        <w:tc>
          <w:tcPr>
            <w:tcW w:w="705" w:type="dxa"/>
            <w:noWrap w:val="0"/>
            <w:vAlign w:val="top"/>
          </w:tcPr>
          <w:p w14:paraId="56DE8337">
            <w:pPr>
              <w:rPr>
                <w:rFonts w:hint="default" w:ascii="Times New Roman" w:hAnsi="Times New Roman" w:eastAsia="仿宋" w:cs="Times New Roman"/>
                <w:sz w:val="24"/>
                <w:highlight w:val="none"/>
              </w:rPr>
            </w:pPr>
          </w:p>
        </w:tc>
      </w:tr>
      <w:tr w14:paraId="19FFE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trPr>
        <w:tc>
          <w:tcPr>
            <w:tcW w:w="768" w:type="dxa"/>
            <w:vMerge w:val="restart"/>
            <w:noWrap w:val="0"/>
            <w:vAlign w:val="top"/>
          </w:tcPr>
          <w:p w14:paraId="3BE7BEA3">
            <w:pPr>
              <w:ind w:firstLine="480" w:firstLineChars="200"/>
              <w:jc w:val="center"/>
              <w:rPr>
                <w:rFonts w:hint="default" w:ascii="Times New Roman" w:hAnsi="Times New Roman" w:eastAsia="仿宋" w:cs="Times New Roman"/>
                <w:sz w:val="24"/>
                <w:highlight w:val="none"/>
              </w:rPr>
            </w:pPr>
          </w:p>
          <w:p w14:paraId="7514E207">
            <w:pPr>
              <w:ind w:firstLine="480" w:firstLineChars="200"/>
              <w:jc w:val="center"/>
              <w:rPr>
                <w:rFonts w:hint="default" w:ascii="Times New Roman" w:hAnsi="Times New Roman" w:eastAsia="仿宋" w:cs="Times New Roman"/>
                <w:sz w:val="24"/>
                <w:highlight w:val="none"/>
              </w:rPr>
            </w:pPr>
          </w:p>
          <w:p w14:paraId="2773D954">
            <w:pPr>
              <w:jc w:val="both"/>
              <w:rPr>
                <w:rFonts w:hint="default" w:ascii="Times New Roman" w:hAnsi="Times New Roman" w:eastAsia="仿宋" w:cs="Times New Roman"/>
                <w:sz w:val="24"/>
                <w:highlight w:val="none"/>
              </w:rPr>
            </w:pPr>
          </w:p>
          <w:p w14:paraId="43037006">
            <w:pPr>
              <w:ind w:firstLine="240" w:firstLineChars="100"/>
              <w:jc w:val="both"/>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4</w:t>
            </w:r>
          </w:p>
        </w:tc>
        <w:tc>
          <w:tcPr>
            <w:tcW w:w="1575" w:type="dxa"/>
            <w:vMerge w:val="restart"/>
            <w:noWrap w:val="0"/>
            <w:vAlign w:val="top"/>
          </w:tcPr>
          <w:p w14:paraId="5E995924">
            <w:pPr>
              <w:adjustRightInd w:val="0"/>
              <w:snapToGrid w:val="0"/>
              <w:spacing w:line="240" w:lineRule="auto"/>
              <w:rPr>
                <w:rFonts w:hint="default" w:ascii="Times New Roman" w:hAnsi="Times New Roman" w:eastAsia="方正仿宋_GBK" w:cs="Times New Roman"/>
                <w:b w:val="0"/>
                <w:bCs w:val="0"/>
                <w:color w:val="auto"/>
                <w:sz w:val="21"/>
                <w:szCs w:val="21"/>
              </w:rPr>
            </w:pPr>
          </w:p>
          <w:p w14:paraId="47A42778">
            <w:pPr>
              <w:adjustRightInd w:val="0"/>
              <w:snapToGrid w:val="0"/>
              <w:spacing w:line="240" w:lineRule="auto"/>
              <w:rPr>
                <w:rFonts w:hint="default" w:ascii="Times New Roman" w:hAnsi="Times New Roman" w:eastAsia="方正仿宋_GBK" w:cs="Times New Roman"/>
                <w:b w:val="0"/>
                <w:bCs w:val="0"/>
                <w:color w:val="auto"/>
                <w:sz w:val="21"/>
                <w:szCs w:val="21"/>
              </w:rPr>
            </w:pPr>
          </w:p>
          <w:p w14:paraId="799CE77F">
            <w:pPr>
              <w:adjustRightInd w:val="0"/>
              <w:snapToGrid w:val="0"/>
              <w:spacing w:line="240" w:lineRule="auto"/>
              <w:rPr>
                <w:rFonts w:hint="default" w:ascii="Times New Roman" w:hAnsi="Times New Roman" w:eastAsia="方正仿宋_GBK" w:cs="Times New Roman"/>
                <w:b w:val="0"/>
                <w:bCs w:val="0"/>
                <w:color w:val="auto"/>
                <w:sz w:val="21"/>
                <w:szCs w:val="21"/>
              </w:rPr>
            </w:pPr>
          </w:p>
          <w:p w14:paraId="7551477D">
            <w:pPr>
              <w:adjustRightInd w:val="0"/>
              <w:snapToGrid w:val="0"/>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制度执行与流程管控（</w:t>
            </w:r>
            <w:r>
              <w:rPr>
                <w:rFonts w:hint="eastAsia" w:eastAsia="方正仿宋_GBK" w:cs="Times New Roman"/>
                <w:b w:val="0"/>
                <w:bCs w:val="0"/>
                <w:color w:val="auto"/>
                <w:sz w:val="21"/>
                <w:szCs w:val="21"/>
                <w:lang w:val="en-US" w:eastAsia="zh-CN"/>
              </w:rPr>
              <w:t>1</w:t>
            </w:r>
            <w:r>
              <w:rPr>
                <w:rFonts w:hint="default" w:ascii="Times New Roman" w:hAnsi="Times New Roman" w:eastAsia="方正仿宋_GBK" w:cs="Times New Roman"/>
                <w:b w:val="0"/>
                <w:bCs w:val="0"/>
                <w:color w:val="auto"/>
                <w:sz w:val="21"/>
                <w:szCs w:val="21"/>
                <w:lang w:val="en-US" w:eastAsia="zh-CN"/>
              </w:rPr>
              <w:t>0</w:t>
            </w:r>
            <w:r>
              <w:rPr>
                <w:rFonts w:hint="default" w:ascii="Times New Roman" w:hAnsi="Times New Roman" w:eastAsia="方正仿宋_GBK" w:cs="Times New Roman"/>
                <w:b w:val="0"/>
                <w:bCs w:val="0"/>
                <w:color w:val="auto"/>
                <w:sz w:val="21"/>
                <w:szCs w:val="21"/>
              </w:rPr>
              <w:t>分）</w:t>
            </w:r>
          </w:p>
        </w:tc>
        <w:tc>
          <w:tcPr>
            <w:tcW w:w="5560" w:type="dxa"/>
            <w:noWrap w:val="0"/>
            <w:vAlign w:val="top"/>
          </w:tcPr>
          <w:p w14:paraId="62FBC3D7">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考勤：护工不可无故缺勤、迟到、早退，满足病人生活需求，随叫随到，违反一次扣2分。</w:t>
            </w:r>
          </w:p>
        </w:tc>
        <w:tc>
          <w:tcPr>
            <w:tcW w:w="1310" w:type="dxa"/>
            <w:noWrap w:val="0"/>
            <w:vAlign w:val="top"/>
          </w:tcPr>
          <w:p w14:paraId="297D2DA8">
            <w:pPr>
              <w:rPr>
                <w:rFonts w:hint="default" w:ascii="Times New Roman" w:hAnsi="Times New Roman" w:eastAsia="仿宋" w:cs="Times New Roman"/>
                <w:sz w:val="24"/>
                <w:highlight w:val="none"/>
              </w:rPr>
            </w:pPr>
          </w:p>
        </w:tc>
        <w:tc>
          <w:tcPr>
            <w:tcW w:w="705" w:type="dxa"/>
            <w:noWrap w:val="0"/>
            <w:vAlign w:val="top"/>
          </w:tcPr>
          <w:p w14:paraId="0A838FAD">
            <w:pPr>
              <w:rPr>
                <w:rFonts w:hint="default" w:ascii="Times New Roman" w:hAnsi="Times New Roman" w:eastAsia="仿宋" w:cs="Times New Roman"/>
                <w:sz w:val="24"/>
                <w:highlight w:val="none"/>
              </w:rPr>
            </w:pPr>
          </w:p>
        </w:tc>
      </w:tr>
      <w:tr w14:paraId="1DA6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768" w:type="dxa"/>
            <w:vMerge w:val="continue"/>
            <w:noWrap w:val="0"/>
            <w:vAlign w:val="top"/>
          </w:tcPr>
          <w:p w14:paraId="37CFC279">
            <w:pPr>
              <w:ind w:firstLine="480" w:firstLineChars="200"/>
              <w:jc w:val="center"/>
              <w:rPr>
                <w:rFonts w:hint="default" w:ascii="Times New Roman" w:hAnsi="Times New Roman" w:eastAsia="仿宋" w:cs="Times New Roman"/>
                <w:sz w:val="24"/>
                <w:highlight w:val="none"/>
              </w:rPr>
            </w:pPr>
          </w:p>
        </w:tc>
        <w:tc>
          <w:tcPr>
            <w:tcW w:w="1575" w:type="dxa"/>
            <w:vMerge w:val="continue"/>
            <w:noWrap w:val="0"/>
            <w:vAlign w:val="top"/>
          </w:tcPr>
          <w:p w14:paraId="60E8B17C">
            <w:pPr>
              <w:adjustRightInd w:val="0"/>
              <w:snapToGrid w:val="0"/>
              <w:spacing w:line="240" w:lineRule="auto"/>
              <w:rPr>
                <w:rFonts w:hint="default" w:ascii="Times New Roman" w:hAnsi="Times New Roman" w:eastAsia="方正仿宋_GBK" w:cs="Times New Roman"/>
                <w:b w:val="0"/>
                <w:bCs w:val="0"/>
                <w:color w:val="auto"/>
                <w:sz w:val="21"/>
                <w:szCs w:val="21"/>
              </w:rPr>
            </w:pPr>
          </w:p>
        </w:tc>
        <w:tc>
          <w:tcPr>
            <w:tcW w:w="5560" w:type="dxa"/>
            <w:noWrap w:val="0"/>
            <w:vAlign w:val="top"/>
          </w:tcPr>
          <w:p w14:paraId="546AD680">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投诉处理：患者/家属投诉需在24小时内响应，48小时内反馈处理结果，未按处理1例扣3分；建立《投诉台账》，记录原因、整改措施及回访情况，缺漏1项扣2分。</w:t>
            </w:r>
          </w:p>
        </w:tc>
        <w:tc>
          <w:tcPr>
            <w:tcW w:w="1310" w:type="dxa"/>
            <w:noWrap w:val="0"/>
            <w:vAlign w:val="top"/>
          </w:tcPr>
          <w:p w14:paraId="2CA34779">
            <w:pPr>
              <w:rPr>
                <w:rFonts w:hint="default" w:ascii="Times New Roman" w:hAnsi="Times New Roman" w:eastAsia="仿宋" w:cs="Times New Roman"/>
                <w:sz w:val="24"/>
                <w:highlight w:val="none"/>
              </w:rPr>
            </w:pPr>
          </w:p>
        </w:tc>
        <w:tc>
          <w:tcPr>
            <w:tcW w:w="705" w:type="dxa"/>
            <w:noWrap w:val="0"/>
            <w:vAlign w:val="top"/>
          </w:tcPr>
          <w:p w14:paraId="279A0A48">
            <w:pPr>
              <w:rPr>
                <w:rFonts w:hint="default" w:ascii="Times New Roman" w:hAnsi="Times New Roman" w:eastAsia="仿宋" w:cs="Times New Roman"/>
                <w:sz w:val="24"/>
                <w:highlight w:val="none"/>
              </w:rPr>
            </w:pPr>
          </w:p>
        </w:tc>
      </w:tr>
      <w:tr w14:paraId="21227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768" w:type="dxa"/>
            <w:vMerge w:val="continue"/>
            <w:noWrap w:val="0"/>
            <w:vAlign w:val="top"/>
          </w:tcPr>
          <w:p w14:paraId="4C6C9977">
            <w:pPr>
              <w:ind w:firstLine="480" w:firstLineChars="200"/>
              <w:jc w:val="center"/>
              <w:rPr>
                <w:rFonts w:hint="default" w:ascii="Times New Roman" w:hAnsi="Times New Roman" w:eastAsia="仿宋" w:cs="Times New Roman"/>
                <w:sz w:val="24"/>
                <w:highlight w:val="none"/>
              </w:rPr>
            </w:pPr>
          </w:p>
        </w:tc>
        <w:tc>
          <w:tcPr>
            <w:tcW w:w="1575" w:type="dxa"/>
            <w:vMerge w:val="continue"/>
            <w:noWrap w:val="0"/>
            <w:vAlign w:val="top"/>
          </w:tcPr>
          <w:p w14:paraId="581E38E3">
            <w:pPr>
              <w:adjustRightInd w:val="0"/>
              <w:snapToGrid w:val="0"/>
              <w:spacing w:line="240" w:lineRule="auto"/>
              <w:rPr>
                <w:rFonts w:hint="default" w:ascii="Times New Roman" w:hAnsi="Times New Roman" w:eastAsia="方正仿宋_GBK" w:cs="Times New Roman"/>
                <w:b w:val="0"/>
                <w:bCs w:val="0"/>
                <w:color w:val="auto"/>
                <w:sz w:val="21"/>
                <w:szCs w:val="21"/>
              </w:rPr>
            </w:pPr>
          </w:p>
        </w:tc>
        <w:tc>
          <w:tcPr>
            <w:tcW w:w="5560" w:type="dxa"/>
            <w:noWrap w:val="0"/>
            <w:vAlign w:val="top"/>
          </w:tcPr>
          <w:p w14:paraId="2C8249EC">
            <w:pPr>
              <w:adjustRightInd w:val="0"/>
              <w:snapToGrid w:val="0"/>
              <w:spacing w:line="240" w:lineRule="auto"/>
              <w:rPr>
                <w:rFonts w:hint="default" w:ascii="Times New Roman" w:hAnsi="Times New Roman" w:eastAsia="方正仿宋_GBK" w:cs="Times New Roman"/>
                <w:b w:val="0"/>
                <w:bCs w:val="0"/>
                <w:color w:val="auto"/>
                <w:sz w:val="21"/>
                <w:szCs w:val="21"/>
                <w:lang w:val="en-US"/>
              </w:rPr>
            </w:pPr>
            <w:r>
              <w:rPr>
                <w:rFonts w:hint="default" w:ascii="Times New Roman" w:hAnsi="Times New Roman" w:eastAsia="方正仿宋_GBK" w:cs="Times New Roman"/>
                <w:b w:val="0"/>
                <w:bCs w:val="0"/>
                <w:color w:val="auto"/>
                <w:sz w:val="21"/>
                <w:szCs w:val="21"/>
                <w:lang w:val="en-US" w:eastAsia="zh-CN"/>
              </w:rPr>
              <w:t>按照标准收费，严禁违规收取患者费用及索要患者红包；严禁进行殡葬服务介绍，发现1例扣10分。</w:t>
            </w:r>
          </w:p>
        </w:tc>
        <w:tc>
          <w:tcPr>
            <w:tcW w:w="1310" w:type="dxa"/>
            <w:noWrap w:val="0"/>
            <w:vAlign w:val="top"/>
          </w:tcPr>
          <w:p w14:paraId="66FA2FBF">
            <w:pPr>
              <w:rPr>
                <w:rFonts w:hint="default" w:ascii="Times New Roman" w:hAnsi="Times New Roman" w:eastAsia="仿宋" w:cs="Times New Roman"/>
                <w:sz w:val="24"/>
                <w:highlight w:val="none"/>
              </w:rPr>
            </w:pPr>
          </w:p>
        </w:tc>
        <w:tc>
          <w:tcPr>
            <w:tcW w:w="705" w:type="dxa"/>
            <w:noWrap w:val="0"/>
            <w:vAlign w:val="top"/>
          </w:tcPr>
          <w:p w14:paraId="47498784">
            <w:pPr>
              <w:rPr>
                <w:rFonts w:hint="default" w:ascii="Times New Roman" w:hAnsi="Times New Roman" w:eastAsia="仿宋" w:cs="Times New Roman"/>
                <w:sz w:val="24"/>
                <w:highlight w:val="none"/>
              </w:rPr>
            </w:pPr>
          </w:p>
        </w:tc>
      </w:tr>
      <w:tr w14:paraId="6B458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768" w:type="dxa"/>
            <w:vMerge w:val="restart"/>
            <w:noWrap w:val="0"/>
            <w:vAlign w:val="top"/>
          </w:tcPr>
          <w:p w14:paraId="7E76FBAE">
            <w:pPr>
              <w:pStyle w:val="2"/>
              <w:jc w:val="center"/>
              <w:rPr>
                <w:rFonts w:hint="default" w:ascii="Times New Roman" w:hAnsi="Times New Roman" w:cs="Times New Roman"/>
                <w:lang w:eastAsia="zh-CN"/>
              </w:rPr>
            </w:pPr>
          </w:p>
          <w:p w14:paraId="1A3D0969">
            <w:pPr>
              <w:ind w:firstLine="480" w:firstLineChars="200"/>
              <w:jc w:val="center"/>
              <w:rPr>
                <w:rFonts w:hint="default" w:ascii="Times New Roman" w:hAnsi="Times New Roman" w:eastAsia="仿宋" w:cs="Times New Roman"/>
                <w:sz w:val="24"/>
                <w:highlight w:val="none"/>
              </w:rPr>
            </w:pPr>
          </w:p>
          <w:p w14:paraId="76160129">
            <w:pPr>
              <w:ind w:firstLine="480" w:firstLineChars="200"/>
              <w:jc w:val="center"/>
              <w:rPr>
                <w:rFonts w:hint="default" w:ascii="Times New Roman" w:hAnsi="Times New Roman" w:eastAsia="仿宋" w:cs="Times New Roman"/>
                <w:sz w:val="24"/>
                <w:highlight w:val="none"/>
              </w:rPr>
            </w:pPr>
          </w:p>
          <w:p w14:paraId="183BC281">
            <w:pPr>
              <w:ind w:firstLine="240" w:firstLineChars="100"/>
              <w:jc w:val="both"/>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5</w:t>
            </w:r>
          </w:p>
        </w:tc>
        <w:tc>
          <w:tcPr>
            <w:tcW w:w="1575" w:type="dxa"/>
            <w:vMerge w:val="restart"/>
            <w:noWrap w:val="0"/>
            <w:vAlign w:val="top"/>
          </w:tcPr>
          <w:p w14:paraId="01B31019">
            <w:pPr>
              <w:adjustRightInd w:val="0"/>
              <w:snapToGrid w:val="0"/>
              <w:spacing w:line="240" w:lineRule="auto"/>
              <w:rPr>
                <w:rFonts w:hint="default" w:ascii="Times New Roman" w:hAnsi="Times New Roman" w:eastAsia="方正仿宋_GBK" w:cs="Times New Roman"/>
                <w:b w:val="0"/>
                <w:bCs w:val="0"/>
                <w:color w:val="auto"/>
                <w:sz w:val="21"/>
                <w:szCs w:val="21"/>
              </w:rPr>
            </w:pPr>
          </w:p>
          <w:p w14:paraId="59CA656B">
            <w:pPr>
              <w:adjustRightInd w:val="0"/>
              <w:snapToGrid w:val="0"/>
              <w:spacing w:line="240" w:lineRule="auto"/>
              <w:rPr>
                <w:rFonts w:hint="default" w:ascii="Times New Roman" w:hAnsi="Times New Roman" w:eastAsia="方正仿宋_GBK" w:cs="Times New Roman"/>
                <w:b w:val="0"/>
                <w:bCs w:val="0"/>
                <w:color w:val="auto"/>
                <w:sz w:val="21"/>
                <w:szCs w:val="21"/>
              </w:rPr>
            </w:pPr>
          </w:p>
          <w:p w14:paraId="1476F573">
            <w:pPr>
              <w:adjustRightInd w:val="0"/>
              <w:snapToGrid w:val="0"/>
              <w:spacing w:line="240" w:lineRule="auto"/>
              <w:rPr>
                <w:rFonts w:hint="default" w:ascii="Times New Roman" w:hAnsi="Times New Roman" w:eastAsia="方正仿宋_GBK" w:cs="Times New Roman"/>
                <w:b w:val="0"/>
                <w:bCs w:val="0"/>
                <w:color w:val="auto"/>
                <w:sz w:val="21"/>
                <w:szCs w:val="21"/>
              </w:rPr>
            </w:pPr>
          </w:p>
          <w:p w14:paraId="7EB66CF9">
            <w:pPr>
              <w:adjustRightInd w:val="0"/>
              <w:snapToGrid w:val="0"/>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患者满意度与持续改进（1</w:t>
            </w:r>
            <w:r>
              <w:rPr>
                <w:rFonts w:hint="default" w:ascii="Times New Roman" w:hAnsi="Times New Roman" w:eastAsia="方正仿宋_GBK" w:cs="Times New Roman"/>
                <w:b w:val="0"/>
                <w:bCs w:val="0"/>
                <w:color w:val="auto"/>
                <w:sz w:val="21"/>
                <w:szCs w:val="21"/>
                <w:lang w:val="en-US" w:eastAsia="zh-CN"/>
              </w:rPr>
              <w:t>0</w:t>
            </w:r>
            <w:r>
              <w:rPr>
                <w:rFonts w:hint="default" w:ascii="Times New Roman" w:hAnsi="Times New Roman" w:eastAsia="方正仿宋_GBK" w:cs="Times New Roman"/>
                <w:b w:val="0"/>
                <w:bCs w:val="0"/>
                <w:color w:val="auto"/>
                <w:sz w:val="21"/>
                <w:szCs w:val="21"/>
              </w:rPr>
              <w:t>分）</w:t>
            </w:r>
          </w:p>
          <w:p w14:paraId="1FC53A27">
            <w:pPr>
              <w:adjustRightInd w:val="0"/>
              <w:snapToGrid w:val="0"/>
              <w:spacing w:line="240" w:lineRule="auto"/>
              <w:rPr>
                <w:rFonts w:hint="default" w:ascii="Times New Roman" w:hAnsi="Times New Roman" w:eastAsia="方正仿宋_GBK" w:cs="Times New Roman"/>
                <w:b w:val="0"/>
                <w:bCs w:val="0"/>
                <w:color w:val="auto"/>
                <w:sz w:val="21"/>
                <w:szCs w:val="21"/>
              </w:rPr>
            </w:pPr>
          </w:p>
        </w:tc>
        <w:tc>
          <w:tcPr>
            <w:tcW w:w="5560" w:type="dxa"/>
            <w:noWrap w:val="0"/>
            <w:vAlign w:val="top"/>
          </w:tcPr>
          <w:p w14:paraId="16AF2789">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rPr>
              <w:t>满意度调查</w:t>
            </w:r>
            <w:r>
              <w:rPr>
                <w:rFonts w:hint="default" w:ascii="Times New Roman" w:hAnsi="Times New Roman" w:eastAsia="方正仿宋_GBK" w:cs="Times New Roman"/>
                <w:b w:val="0"/>
                <w:bCs w:val="0"/>
                <w:color w:val="auto"/>
                <w:sz w:val="21"/>
                <w:szCs w:val="21"/>
                <w:lang w:eastAsia="zh-CN"/>
              </w:rPr>
              <w:t>：</w:t>
            </w:r>
            <w:r>
              <w:rPr>
                <w:rFonts w:hint="default" w:ascii="Times New Roman" w:hAnsi="Times New Roman" w:eastAsia="方正仿宋_GBK" w:cs="Times New Roman"/>
                <w:b w:val="0"/>
                <w:bCs w:val="0"/>
                <w:color w:val="auto"/>
                <w:sz w:val="21"/>
                <w:szCs w:val="21"/>
              </w:rPr>
              <w:t>是否每位患者签署服务告知书，发现一次未签署扣</w:t>
            </w:r>
            <w:r>
              <w:rPr>
                <w:rFonts w:hint="default" w:ascii="Times New Roman" w:hAnsi="Times New Roman" w:eastAsia="方正仿宋_GBK" w:cs="Times New Roman"/>
                <w:b w:val="0"/>
                <w:bCs w:val="0"/>
                <w:color w:val="auto"/>
                <w:sz w:val="21"/>
                <w:szCs w:val="21"/>
                <w:lang w:val="en-US" w:eastAsia="zh-CN"/>
              </w:rPr>
              <w:t>2</w:t>
            </w:r>
            <w:r>
              <w:rPr>
                <w:rFonts w:hint="default" w:ascii="Times New Roman" w:hAnsi="Times New Roman" w:eastAsia="方正仿宋_GBK" w:cs="Times New Roman"/>
                <w:b w:val="0"/>
                <w:bCs w:val="0"/>
                <w:color w:val="auto"/>
                <w:sz w:val="21"/>
                <w:szCs w:val="21"/>
              </w:rPr>
              <w:t>分；院内抽查</w:t>
            </w:r>
            <w:r>
              <w:rPr>
                <w:rFonts w:hint="default" w:ascii="Times New Roman" w:hAnsi="Times New Roman" w:eastAsia="方正仿宋_GBK" w:cs="Times New Roman"/>
                <w:b w:val="0"/>
                <w:bCs w:val="0"/>
                <w:color w:val="auto"/>
                <w:sz w:val="21"/>
                <w:szCs w:val="21"/>
                <w:lang w:val="en-US" w:eastAsia="zh-CN"/>
              </w:rPr>
              <w:t>患者</w:t>
            </w:r>
            <w:r>
              <w:rPr>
                <w:rFonts w:hint="default" w:ascii="Times New Roman" w:hAnsi="Times New Roman" w:eastAsia="方正仿宋_GBK" w:cs="Times New Roman"/>
                <w:b w:val="0"/>
                <w:bCs w:val="0"/>
                <w:color w:val="auto"/>
                <w:sz w:val="21"/>
                <w:szCs w:val="21"/>
              </w:rPr>
              <w:t>满意度≥9</w:t>
            </w:r>
            <w:r>
              <w:rPr>
                <w:rFonts w:hint="default" w:ascii="Times New Roman" w:hAnsi="Times New Roman" w:eastAsia="方正仿宋_GBK" w:cs="Times New Roman"/>
                <w:b w:val="0"/>
                <w:bCs w:val="0"/>
                <w:color w:val="auto"/>
                <w:sz w:val="21"/>
                <w:szCs w:val="21"/>
                <w:lang w:val="en-US" w:eastAsia="zh-CN"/>
              </w:rPr>
              <w:t>0</w:t>
            </w:r>
            <w:r>
              <w:rPr>
                <w:rFonts w:hint="default" w:ascii="Times New Roman" w:hAnsi="Times New Roman" w:eastAsia="方正仿宋_GBK" w:cs="Times New Roman"/>
                <w:b w:val="0"/>
                <w:bCs w:val="0"/>
                <w:color w:val="auto"/>
                <w:sz w:val="21"/>
                <w:szCs w:val="21"/>
              </w:rPr>
              <w:t>分</w:t>
            </w:r>
            <w:r>
              <w:rPr>
                <w:rFonts w:hint="default" w:ascii="Times New Roman" w:hAnsi="Times New Roman" w:eastAsia="方正仿宋_GBK" w:cs="Times New Roman"/>
                <w:b w:val="0"/>
                <w:bCs w:val="0"/>
                <w:color w:val="auto"/>
                <w:sz w:val="21"/>
                <w:szCs w:val="21"/>
                <w:lang w:val="en-US" w:eastAsia="zh-CN"/>
              </w:rPr>
              <w:t>不扣分，＜</w:t>
            </w:r>
            <w:r>
              <w:rPr>
                <w:rFonts w:hint="default" w:ascii="Times New Roman" w:hAnsi="Times New Roman" w:eastAsia="方正仿宋_GBK" w:cs="Times New Roman"/>
                <w:b w:val="0"/>
                <w:bCs w:val="0"/>
                <w:color w:val="auto"/>
                <w:sz w:val="21"/>
                <w:szCs w:val="21"/>
              </w:rPr>
              <w:t>9</w:t>
            </w:r>
            <w:r>
              <w:rPr>
                <w:rFonts w:hint="default" w:ascii="Times New Roman" w:hAnsi="Times New Roman" w:eastAsia="方正仿宋_GBK" w:cs="Times New Roman"/>
                <w:b w:val="0"/>
                <w:bCs w:val="0"/>
                <w:color w:val="auto"/>
                <w:sz w:val="21"/>
                <w:szCs w:val="21"/>
                <w:lang w:val="en-US" w:eastAsia="zh-CN"/>
              </w:rPr>
              <w:t>5</w:t>
            </w:r>
            <w:r>
              <w:rPr>
                <w:rFonts w:hint="default" w:ascii="Times New Roman" w:hAnsi="Times New Roman" w:eastAsia="方正仿宋_GBK" w:cs="Times New Roman"/>
                <w:b w:val="0"/>
                <w:bCs w:val="0"/>
                <w:color w:val="auto"/>
                <w:sz w:val="21"/>
                <w:szCs w:val="21"/>
              </w:rPr>
              <w:t>分一</w:t>
            </w:r>
            <w:r>
              <w:rPr>
                <w:rFonts w:hint="default" w:ascii="Times New Roman" w:hAnsi="Times New Roman" w:eastAsia="方正仿宋_GBK" w:cs="Times New Roman"/>
                <w:b w:val="0"/>
                <w:bCs w:val="0"/>
                <w:color w:val="auto"/>
                <w:sz w:val="21"/>
                <w:szCs w:val="21"/>
                <w:lang w:val="en-US" w:eastAsia="zh-CN"/>
              </w:rPr>
              <w:t>人</w:t>
            </w:r>
            <w:r>
              <w:rPr>
                <w:rFonts w:hint="default" w:ascii="Times New Roman" w:hAnsi="Times New Roman" w:eastAsia="方正仿宋_GBK" w:cs="Times New Roman"/>
                <w:b w:val="0"/>
                <w:bCs w:val="0"/>
                <w:color w:val="auto"/>
                <w:sz w:val="21"/>
                <w:szCs w:val="21"/>
              </w:rPr>
              <w:t>次扣2分</w:t>
            </w:r>
            <w:r>
              <w:rPr>
                <w:rFonts w:hint="default" w:ascii="Times New Roman" w:hAnsi="Times New Roman" w:eastAsia="方正仿宋_GBK" w:cs="Times New Roman"/>
                <w:b w:val="0"/>
                <w:bCs w:val="0"/>
                <w:color w:val="auto"/>
                <w:sz w:val="21"/>
                <w:szCs w:val="21"/>
                <w:lang w:eastAsia="zh-CN"/>
              </w:rPr>
              <w:t>；</w:t>
            </w:r>
            <w:r>
              <w:rPr>
                <w:rFonts w:hint="default" w:ascii="Times New Roman" w:hAnsi="Times New Roman" w:eastAsia="方正仿宋_GBK" w:cs="Times New Roman"/>
                <w:b w:val="0"/>
                <w:bCs w:val="0"/>
                <w:color w:val="auto"/>
                <w:sz w:val="21"/>
                <w:szCs w:val="21"/>
                <w:lang w:val="en-US" w:eastAsia="zh-CN"/>
              </w:rPr>
              <w:t>科室满意度</w:t>
            </w:r>
            <w:r>
              <w:rPr>
                <w:rFonts w:hint="default" w:ascii="Times New Roman" w:hAnsi="Times New Roman" w:eastAsia="方正仿宋_GBK" w:cs="Times New Roman"/>
                <w:b w:val="0"/>
                <w:bCs w:val="0"/>
                <w:color w:val="auto"/>
                <w:sz w:val="21"/>
                <w:szCs w:val="21"/>
              </w:rPr>
              <w:t>≥9</w:t>
            </w:r>
            <w:r>
              <w:rPr>
                <w:rFonts w:hint="default" w:ascii="Times New Roman" w:hAnsi="Times New Roman" w:eastAsia="方正仿宋_GBK" w:cs="Times New Roman"/>
                <w:b w:val="0"/>
                <w:bCs w:val="0"/>
                <w:color w:val="auto"/>
                <w:sz w:val="21"/>
                <w:szCs w:val="21"/>
                <w:lang w:val="en-US" w:eastAsia="zh-CN"/>
              </w:rPr>
              <w:t>0</w:t>
            </w:r>
            <w:r>
              <w:rPr>
                <w:rFonts w:hint="default" w:ascii="Times New Roman" w:hAnsi="Times New Roman" w:eastAsia="方正仿宋_GBK" w:cs="Times New Roman"/>
                <w:b w:val="0"/>
                <w:bCs w:val="0"/>
                <w:color w:val="auto"/>
                <w:sz w:val="21"/>
                <w:szCs w:val="21"/>
              </w:rPr>
              <w:t>分</w:t>
            </w:r>
            <w:r>
              <w:rPr>
                <w:rFonts w:hint="default" w:ascii="Times New Roman" w:hAnsi="Times New Roman" w:eastAsia="方正仿宋_GBK" w:cs="Times New Roman"/>
                <w:b w:val="0"/>
                <w:bCs w:val="0"/>
                <w:color w:val="auto"/>
                <w:sz w:val="21"/>
                <w:szCs w:val="21"/>
                <w:lang w:val="en-US" w:eastAsia="zh-CN"/>
              </w:rPr>
              <w:t>不扣分，＜</w:t>
            </w:r>
            <w:r>
              <w:rPr>
                <w:rFonts w:hint="default" w:ascii="Times New Roman" w:hAnsi="Times New Roman" w:eastAsia="方正仿宋_GBK" w:cs="Times New Roman"/>
                <w:b w:val="0"/>
                <w:bCs w:val="0"/>
                <w:color w:val="auto"/>
                <w:sz w:val="21"/>
                <w:szCs w:val="21"/>
              </w:rPr>
              <w:t>9</w:t>
            </w:r>
            <w:r>
              <w:rPr>
                <w:rFonts w:hint="default" w:ascii="Times New Roman" w:hAnsi="Times New Roman" w:eastAsia="方正仿宋_GBK" w:cs="Times New Roman"/>
                <w:b w:val="0"/>
                <w:bCs w:val="0"/>
                <w:color w:val="auto"/>
                <w:sz w:val="21"/>
                <w:szCs w:val="21"/>
                <w:lang w:val="en-US" w:eastAsia="zh-CN"/>
              </w:rPr>
              <w:t>0</w:t>
            </w:r>
            <w:r>
              <w:rPr>
                <w:rFonts w:hint="default" w:ascii="Times New Roman" w:hAnsi="Times New Roman" w:eastAsia="方正仿宋_GBK" w:cs="Times New Roman"/>
                <w:b w:val="0"/>
                <w:bCs w:val="0"/>
                <w:color w:val="auto"/>
                <w:sz w:val="21"/>
                <w:szCs w:val="21"/>
              </w:rPr>
              <w:t>分一</w:t>
            </w:r>
            <w:r>
              <w:rPr>
                <w:rFonts w:hint="default" w:ascii="Times New Roman" w:hAnsi="Times New Roman" w:eastAsia="方正仿宋_GBK" w:cs="Times New Roman"/>
                <w:b w:val="0"/>
                <w:bCs w:val="0"/>
                <w:color w:val="auto"/>
                <w:sz w:val="21"/>
                <w:szCs w:val="21"/>
                <w:lang w:val="en-US" w:eastAsia="zh-CN"/>
              </w:rPr>
              <w:t>人</w:t>
            </w:r>
            <w:r>
              <w:rPr>
                <w:rFonts w:hint="default" w:ascii="Times New Roman" w:hAnsi="Times New Roman" w:eastAsia="方正仿宋_GBK" w:cs="Times New Roman"/>
                <w:b w:val="0"/>
                <w:bCs w:val="0"/>
                <w:color w:val="auto"/>
                <w:sz w:val="21"/>
                <w:szCs w:val="21"/>
              </w:rPr>
              <w:t>次扣2分</w:t>
            </w:r>
            <w:r>
              <w:rPr>
                <w:rFonts w:hint="default" w:ascii="Times New Roman" w:hAnsi="Times New Roman" w:eastAsia="方正仿宋_GBK" w:cs="Times New Roman"/>
                <w:b w:val="0"/>
                <w:bCs w:val="0"/>
                <w:color w:val="auto"/>
                <w:sz w:val="21"/>
                <w:szCs w:val="21"/>
                <w:lang w:eastAsia="zh-CN"/>
              </w:rPr>
              <w:t>。</w:t>
            </w:r>
          </w:p>
        </w:tc>
        <w:tc>
          <w:tcPr>
            <w:tcW w:w="1310" w:type="dxa"/>
            <w:noWrap w:val="0"/>
            <w:vAlign w:val="top"/>
          </w:tcPr>
          <w:p w14:paraId="13AF018A">
            <w:pPr>
              <w:rPr>
                <w:rFonts w:hint="default" w:ascii="Times New Roman" w:hAnsi="Times New Roman" w:eastAsia="仿宋" w:cs="Times New Roman"/>
                <w:sz w:val="24"/>
                <w:highlight w:val="none"/>
              </w:rPr>
            </w:pPr>
          </w:p>
        </w:tc>
        <w:tc>
          <w:tcPr>
            <w:tcW w:w="705" w:type="dxa"/>
            <w:noWrap w:val="0"/>
            <w:vAlign w:val="top"/>
          </w:tcPr>
          <w:p w14:paraId="651689B1">
            <w:pPr>
              <w:rPr>
                <w:rFonts w:hint="default" w:ascii="Times New Roman" w:hAnsi="Times New Roman" w:eastAsia="仿宋" w:cs="Times New Roman"/>
                <w:sz w:val="24"/>
                <w:highlight w:val="none"/>
              </w:rPr>
            </w:pPr>
          </w:p>
        </w:tc>
      </w:tr>
      <w:tr w14:paraId="53AE5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68" w:type="dxa"/>
            <w:vMerge w:val="continue"/>
            <w:noWrap w:val="0"/>
            <w:vAlign w:val="top"/>
          </w:tcPr>
          <w:p w14:paraId="069C2657">
            <w:pPr>
              <w:ind w:firstLine="480" w:firstLineChars="200"/>
              <w:jc w:val="center"/>
              <w:rPr>
                <w:rFonts w:hint="default" w:ascii="Times New Roman" w:hAnsi="Times New Roman" w:eastAsia="仿宋" w:cs="Times New Roman"/>
                <w:sz w:val="24"/>
                <w:highlight w:val="none"/>
              </w:rPr>
            </w:pPr>
          </w:p>
        </w:tc>
        <w:tc>
          <w:tcPr>
            <w:tcW w:w="1575" w:type="dxa"/>
            <w:vMerge w:val="continue"/>
            <w:noWrap w:val="0"/>
            <w:vAlign w:val="top"/>
          </w:tcPr>
          <w:p w14:paraId="7130C214">
            <w:pPr>
              <w:rPr>
                <w:rFonts w:hint="default" w:ascii="Times New Roman" w:hAnsi="Times New Roman" w:eastAsia="仿宋" w:cs="Times New Roman"/>
                <w:sz w:val="24"/>
                <w:highlight w:val="none"/>
              </w:rPr>
            </w:pPr>
          </w:p>
        </w:tc>
        <w:tc>
          <w:tcPr>
            <w:tcW w:w="5560" w:type="dxa"/>
            <w:noWrap w:val="0"/>
            <w:vAlign w:val="top"/>
          </w:tcPr>
          <w:p w14:paraId="1C895544">
            <w:pPr>
              <w:adjustRightInd w:val="0"/>
              <w:snapToGrid w:val="0"/>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质量改进机制</w:t>
            </w:r>
            <w:r>
              <w:rPr>
                <w:rFonts w:hint="default" w:ascii="Times New Roman" w:hAnsi="Times New Roman" w:eastAsia="方正仿宋_GBK" w:cs="Times New Roman"/>
                <w:b w:val="0"/>
                <w:bCs w:val="0"/>
                <w:color w:val="auto"/>
                <w:sz w:val="21"/>
                <w:szCs w:val="21"/>
                <w:lang w:eastAsia="zh-CN"/>
              </w:rPr>
              <w:t>：乙方</w:t>
            </w:r>
            <w:r>
              <w:rPr>
                <w:rFonts w:hint="default" w:ascii="Times New Roman" w:hAnsi="Times New Roman" w:eastAsia="方正仿宋_GBK" w:cs="Times New Roman"/>
                <w:b w:val="0"/>
                <w:bCs w:val="0"/>
                <w:color w:val="auto"/>
                <w:sz w:val="21"/>
                <w:szCs w:val="21"/>
              </w:rPr>
              <w:t>需针对检查发现的问题制定书面整改计划，未按时提交扣3分；对重复发生的问题（如同一科室护工服务态度投诉≥2次/月），未采取针对性措施扣5分。</w:t>
            </w:r>
          </w:p>
        </w:tc>
        <w:tc>
          <w:tcPr>
            <w:tcW w:w="1310" w:type="dxa"/>
            <w:noWrap w:val="0"/>
            <w:vAlign w:val="top"/>
          </w:tcPr>
          <w:p w14:paraId="63649ED3">
            <w:pPr>
              <w:rPr>
                <w:rFonts w:hint="default" w:ascii="Times New Roman" w:hAnsi="Times New Roman" w:eastAsia="仿宋" w:cs="Times New Roman"/>
                <w:sz w:val="24"/>
                <w:highlight w:val="none"/>
              </w:rPr>
            </w:pPr>
          </w:p>
        </w:tc>
        <w:tc>
          <w:tcPr>
            <w:tcW w:w="705" w:type="dxa"/>
            <w:noWrap w:val="0"/>
            <w:vAlign w:val="top"/>
          </w:tcPr>
          <w:p w14:paraId="0DBA7ED9">
            <w:pPr>
              <w:rPr>
                <w:rFonts w:hint="default" w:ascii="Times New Roman" w:hAnsi="Times New Roman" w:eastAsia="仿宋" w:cs="Times New Roman"/>
                <w:sz w:val="24"/>
                <w:highlight w:val="none"/>
              </w:rPr>
            </w:pPr>
          </w:p>
        </w:tc>
      </w:tr>
    </w:tbl>
    <w:p w14:paraId="0597428D">
      <w:pPr>
        <w:pStyle w:val="14"/>
        <w:bidi w:val="0"/>
        <w:jc w:val="center"/>
        <w:rPr>
          <w:rFonts w:hint="default" w:ascii="Times New Roman" w:hAnsi="Times New Roman" w:cs="Times New Roman"/>
          <w:color w:val="auto"/>
          <w:lang w:val="en-US"/>
        </w:rPr>
      </w:pPr>
      <w:r>
        <w:rPr>
          <w:rFonts w:hint="default" w:ascii="Times New Roman" w:hAnsi="Times New Roman" w:eastAsia="方正黑体_GBK" w:cs="Times New Roman"/>
          <w:b w:val="0"/>
          <w:bCs w:val="0"/>
          <w:color w:val="auto"/>
          <w:lang w:val="en-US" w:eastAsia="zh-CN"/>
        </w:rPr>
        <w:t>表二：</w:t>
      </w:r>
      <w:r>
        <w:rPr>
          <w:rFonts w:hint="default" w:ascii="Times New Roman" w:hAnsi="Times New Roman" w:eastAsia="方正黑体_GBK" w:cs="Times New Roman"/>
          <w:b w:val="0"/>
          <w:bCs w:val="0"/>
          <w:color w:val="auto"/>
          <w:lang w:eastAsia="zh-CN"/>
        </w:rPr>
        <w:t>住院患者陪护</w:t>
      </w:r>
      <w:r>
        <w:rPr>
          <w:rFonts w:hint="default" w:ascii="Times New Roman" w:hAnsi="Times New Roman" w:eastAsia="方正黑体_GBK" w:cs="Times New Roman"/>
          <w:b w:val="0"/>
          <w:bCs w:val="0"/>
          <w:color w:val="auto"/>
          <w:lang w:val="en-US" w:eastAsia="zh-CN"/>
        </w:rPr>
        <w:t>考</w:t>
      </w:r>
      <w:r>
        <w:rPr>
          <w:rFonts w:hint="default" w:ascii="Times New Roman" w:hAnsi="Times New Roman" w:eastAsia="方正黑体_GBK" w:cs="Times New Roman"/>
          <w:b w:val="0"/>
          <w:bCs w:val="0"/>
          <w:color w:val="auto"/>
        </w:rPr>
        <w:t>核标准</w:t>
      </w:r>
      <w:r>
        <w:rPr>
          <w:rFonts w:hint="default" w:ascii="Times New Roman" w:hAnsi="Times New Roman" w:eastAsia="方正黑体_GBK" w:cs="Times New Roman"/>
          <w:b w:val="0"/>
          <w:bCs w:val="0"/>
          <w:color w:val="auto"/>
          <w:lang w:val="en-US" w:eastAsia="zh-CN"/>
        </w:rPr>
        <w:t>表</w:t>
      </w:r>
      <w:r>
        <w:rPr>
          <w:rFonts w:hint="default" w:ascii="Times New Roman" w:hAnsi="Times New Roman" w:eastAsia="方正黑体_GBK" w:cs="Times New Roman"/>
          <w:b w:val="0"/>
          <w:bCs w:val="0"/>
          <w:color w:val="auto"/>
          <w:lang w:eastAsia="zh-CN"/>
        </w:rPr>
        <w:t>（</w:t>
      </w:r>
      <w:r>
        <w:rPr>
          <w:rFonts w:hint="default" w:ascii="Times New Roman" w:hAnsi="Times New Roman" w:eastAsia="方正黑体_GBK" w:cs="Times New Roman"/>
          <w:b w:val="0"/>
          <w:bCs w:val="0"/>
          <w:color w:val="auto"/>
          <w:lang w:val="en-US" w:eastAsia="zh-CN"/>
        </w:rPr>
        <w:t>年度</w:t>
      </w:r>
      <w:r>
        <w:rPr>
          <w:rFonts w:hint="default" w:ascii="Times New Roman" w:hAnsi="Times New Roman" w:eastAsia="方正黑体_GBK" w:cs="Times New Roman"/>
          <w:b w:val="0"/>
          <w:bCs w:val="0"/>
          <w:color w:val="auto"/>
          <w:lang w:eastAsia="zh-CN"/>
        </w:rPr>
        <w:t>）</w:t>
      </w:r>
    </w:p>
    <w:tbl>
      <w:tblPr>
        <w:tblStyle w:val="11"/>
        <w:tblpPr w:leftFromText="180" w:rightFromText="180" w:vertAnchor="text" w:horzAnchor="page" w:tblpX="1005" w:tblpY="69"/>
        <w:tblOverlap w:val="never"/>
        <w:tblW w:w="994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5"/>
        <w:gridCol w:w="2370"/>
        <w:gridCol w:w="4785"/>
        <w:gridCol w:w="1290"/>
        <w:gridCol w:w="705"/>
      </w:tblGrid>
      <w:tr w14:paraId="0DB0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795" w:type="dxa"/>
            <w:vAlign w:val="top"/>
          </w:tcPr>
          <w:p w14:paraId="7301C594">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序号</w:t>
            </w:r>
          </w:p>
        </w:tc>
        <w:tc>
          <w:tcPr>
            <w:tcW w:w="2370" w:type="dxa"/>
            <w:vAlign w:val="top"/>
          </w:tcPr>
          <w:p w14:paraId="34C897B9">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检查项目/分值</w:t>
            </w:r>
          </w:p>
        </w:tc>
        <w:tc>
          <w:tcPr>
            <w:tcW w:w="4785" w:type="dxa"/>
            <w:vAlign w:val="top"/>
          </w:tcPr>
          <w:p w14:paraId="116B4758">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检查内容</w:t>
            </w:r>
          </w:p>
        </w:tc>
        <w:tc>
          <w:tcPr>
            <w:tcW w:w="1290" w:type="dxa"/>
            <w:vAlign w:val="top"/>
          </w:tcPr>
          <w:p w14:paraId="41F52229">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检查情况</w:t>
            </w:r>
          </w:p>
        </w:tc>
        <w:tc>
          <w:tcPr>
            <w:tcW w:w="705" w:type="dxa"/>
            <w:vAlign w:val="top"/>
          </w:tcPr>
          <w:p w14:paraId="5AF2F0FD">
            <w:pPr>
              <w:jc w:val="center"/>
              <w:rPr>
                <w:rFonts w:hint="default" w:ascii="Times New Roman" w:hAnsi="Times New Roman" w:eastAsia="仿宋" w:cs="Times New Roman"/>
                <w:sz w:val="24"/>
                <w:highlight w:val="none"/>
              </w:rPr>
            </w:pPr>
            <w:r>
              <w:rPr>
                <w:rFonts w:hint="default" w:ascii="Times New Roman" w:hAnsi="Times New Roman" w:eastAsia="仿宋" w:cs="Times New Roman"/>
                <w:sz w:val="24"/>
                <w:highlight w:val="none"/>
              </w:rPr>
              <w:t>扣</w:t>
            </w:r>
            <w:r>
              <w:rPr>
                <w:rFonts w:hint="default" w:ascii="Times New Roman" w:hAnsi="Times New Roman" w:eastAsia="仿宋" w:cs="Times New Roman"/>
                <w:sz w:val="24"/>
                <w:highlight w:val="none"/>
                <w:lang w:val="en-US" w:eastAsia="zh-CN"/>
              </w:rPr>
              <w:t>分</w:t>
            </w:r>
          </w:p>
        </w:tc>
      </w:tr>
      <w:tr w14:paraId="1D60A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6" w:hRule="atLeast"/>
        </w:trPr>
        <w:tc>
          <w:tcPr>
            <w:tcW w:w="795" w:type="dxa"/>
          </w:tcPr>
          <w:p w14:paraId="1A5EA27A">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p>
          <w:p w14:paraId="1BD293B6">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p>
          <w:p w14:paraId="21D0C81C">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1</w:t>
            </w:r>
          </w:p>
        </w:tc>
        <w:tc>
          <w:tcPr>
            <w:tcW w:w="2370" w:type="dxa"/>
            <w:vAlign w:val="top"/>
          </w:tcPr>
          <w:p w14:paraId="65F42579">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p>
          <w:p w14:paraId="04636644">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p>
          <w:p w14:paraId="2BE90D9E">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科室满意度（24分）</w:t>
            </w:r>
          </w:p>
        </w:tc>
        <w:tc>
          <w:tcPr>
            <w:tcW w:w="4785" w:type="dxa"/>
            <w:vAlign w:val="top"/>
          </w:tcPr>
          <w:p w14:paraId="2EB7FF15">
            <w:pPr>
              <w:pStyle w:val="2"/>
              <w:ind w:left="0" w:leftChars="0" w:firstLine="0" w:firstLineChars="0"/>
              <w:rPr>
                <w:rFonts w:hint="default" w:ascii="Times New Roman" w:hAnsi="Times New Roman" w:eastAsia="方正仿宋_GBK" w:cs="Times New Roman"/>
                <w:b w:val="0"/>
                <w:bCs w:val="0"/>
                <w:color w:val="auto"/>
                <w:kern w:val="2"/>
                <w:sz w:val="21"/>
                <w:szCs w:val="21"/>
                <w:lang w:val="en-US" w:eastAsia="zh-CN" w:bidi="ar-SA"/>
              </w:rPr>
            </w:pPr>
            <w:r>
              <w:rPr>
                <w:rFonts w:hint="default" w:ascii="Times New Roman" w:hAnsi="Times New Roman" w:eastAsia="方正仿宋_GBK" w:cs="Times New Roman"/>
                <w:b w:val="0"/>
                <w:bCs w:val="0"/>
                <w:color w:val="auto"/>
                <w:kern w:val="2"/>
                <w:sz w:val="21"/>
                <w:szCs w:val="21"/>
                <w:lang w:val="en-US" w:eastAsia="zh-CN" w:bidi="ar-SA"/>
              </w:rPr>
              <w:t>年度患者满意度＜90分，每低5个百分点扣3分，扣完为止；科室满意度＜90分，每低5个百分点扣3分，扣完为止。（单项最高扣12分）。</w:t>
            </w:r>
          </w:p>
        </w:tc>
        <w:tc>
          <w:tcPr>
            <w:tcW w:w="1290" w:type="dxa"/>
          </w:tcPr>
          <w:p w14:paraId="6E47E16F">
            <w:pPr>
              <w:jc w:val="center"/>
              <w:rPr>
                <w:rFonts w:hint="default" w:ascii="Times New Roman" w:hAnsi="Times New Roman" w:eastAsia="仿宋" w:cs="Times New Roman"/>
                <w:sz w:val="24"/>
                <w:highlight w:val="none"/>
                <w:lang w:eastAsia="zh-CN"/>
              </w:rPr>
            </w:pPr>
          </w:p>
        </w:tc>
        <w:tc>
          <w:tcPr>
            <w:tcW w:w="705" w:type="dxa"/>
          </w:tcPr>
          <w:p w14:paraId="0AE36D8A">
            <w:pPr>
              <w:jc w:val="center"/>
              <w:rPr>
                <w:rFonts w:hint="default" w:ascii="Times New Roman" w:hAnsi="Times New Roman" w:eastAsia="仿宋" w:cs="Times New Roman"/>
                <w:sz w:val="24"/>
                <w:highlight w:val="none"/>
                <w:lang w:eastAsia="zh-CN"/>
              </w:rPr>
            </w:pPr>
          </w:p>
        </w:tc>
      </w:tr>
      <w:tr w14:paraId="5F3B9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trPr>
        <w:tc>
          <w:tcPr>
            <w:tcW w:w="795" w:type="dxa"/>
          </w:tcPr>
          <w:p w14:paraId="1A408F3C">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p>
          <w:p w14:paraId="661FE896">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2</w:t>
            </w:r>
          </w:p>
        </w:tc>
        <w:tc>
          <w:tcPr>
            <w:tcW w:w="2370" w:type="dxa"/>
            <w:vAlign w:val="top"/>
          </w:tcPr>
          <w:p w14:paraId="039FBB3A">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p>
          <w:p w14:paraId="7FE8F715">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季度考核得分（30分）</w:t>
            </w:r>
          </w:p>
        </w:tc>
        <w:tc>
          <w:tcPr>
            <w:tcW w:w="4785" w:type="dxa"/>
            <w:vAlign w:val="top"/>
          </w:tcPr>
          <w:p w14:paraId="096C35B8">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rPr>
              <w:t>以四个季度考核扣分平均分×30%折算计入年度扣分。</w:t>
            </w:r>
          </w:p>
        </w:tc>
        <w:tc>
          <w:tcPr>
            <w:tcW w:w="1290" w:type="dxa"/>
          </w:tcPr>
          <w:p w14:paraId="35B9C2D1">
            <w:pPr>
              <w:jc w:val="center"/>
              <w:rPr>
                <w:rFonts w:hint="default" w:ascii="Times New Roman" w:hAnsi="Times New Roman" w:eastAsia="仿宋" w:cs="Times New Roman"/>
                <w:sz w:val="24"/>
                <w:highlight w:val="none"/>
                <w:lang w:eastAsia="zh-CN"/>
              </w:rPr>
            </w:pPr>
          </w:p>
        </w:tc>
        <w:tc>
          <w:tcPr>
            <w:tcW w:w="705" w:type="dxa"/>
          </w:tcPr>
          <w:p w14:paraId="62B3DCE1">
            <w:pPr>
              <w:jc w:val="center"/>
              <w:rPr>
                <w:rFonts w:hint="default" w:ascii="Times New Roman" w:hAnsi="Times New Roman" w:eastAsia="仿宋" w:cs="Times New Roman"/>
                <w:sz w:val="24"/>
                <w:highlight w:val="none"/>
                <w:lang w:eastAsia="zh-CN"/>
              </w:rPr>
            </w:pPr>
          </w:p>
        </w:tc>
      </w:tr>
      <w:tr w14:paraId="3AD16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795" w:type="dxa"/>
          </w:tcPr>
          <w:p w14:paraId="6AF11CA4">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p>
          <w:p w14:paraId="406D536E">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3</w:t>
            </w:r>
          </w:p>
        </w:tc>
        <w:tc>
          <w:tcPr>
            <w:tcW w:w="2370" w:type="dxa"/>
            <w:vAlign w:val="top"/>
          </w:tcPr>
          <w:p w14:paraId="03237256">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p>
          <w:p w14:paraId="6AF2A479">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年度质量改进（16分）</w:t>
            </w:r>
          </w:p>
        </w:tc>
        <w:tc>
          <w:tcPr>
            <w:tcW w:w="4785" w:type="dxa"/>
            <w:vAlign w:val="top"/>
          </w:tcPr>
          <w:p w14:paraId="2CA7C51A">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rPr>
              <w:t>全年问题整改：全部完成不扣分，基本完成扣3分，未完成扣6分；重复发生问题：无重复不扣分，1-2项扣2分，≥3项扣5分。</w:t>
            </w:r>
          </w:p>
        </w:tc>
        <w:tc>
          <w:tcPr>
            <w:tcW w:w="1290" w:type="dxa"/>
          </w:tcPr>
          <w:p w14:paraId="5F229CB5">
            <w:pPr>
              <w:jc w:val="center"/>
              <w:rPr>
                <w:rFonts w:hint="default" w:ascii="Times New Roman" w:hAnsi="Times New Roman" w:eastAsia="仿宋" w:cs="Times New Roman"/>
                <w:sz w:val="24"/>
                <w:highlight w:val="none"/>
                <w:lang w:eastAsia="zh-CN"/>
              </w:rPr>
            </w:pPr>
          </w:p>
        </w:tc>
        <w:tc>
          <w:tcPr>
            <w:tcW w:w="705" w:type="dxa"/>
          </w:tcPr>
          <w:p w14:paraId="5E8B1883">
            <w:pPr>
              <w:jc w:val="center"/>
              <w:rPr>
                <w:rFonts w:hint="default" w:ascii="Times New Roman" w:hAnsi="Times New Roman" w:eastAsia="仿宋" w:cs="Times New Roman"/>
                <w:sz w:val="24"/>
                <w:highlight w:val="none"/>
                <w:lang w:eastAsia="zh-CN"/>
              </w:rPr>
            </w:pPr>
          </w:p>
        </w:tc>
      </w:tr>
      <w:tr w14:paraId="263D4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trPr>
        <w:tc>
          <w:tcPr>
            <w:tcW w:w="795" w:type="dxa"/>
          </w:tcPr>
          <w:p w14:paraId="5919B5D9">
            <w:pPr>
              <w:adjustRightInd w:val="0"/>
              <w:snapToGrid w:val="0"/>
              <w:spacing w:line="240" w:lineRule="auto"/>
              <w:jc w:val="both"/>
              <w:rPr>
                <w:rFonts w:hint="default" w:ascii="Times New Roman" w:hAnsi="Times New Roman" w:eastAsia="方正仿宋_GBK" w:cs="Times New Roman"/>
                <w:b w:val="0"/>
                <w:bCs w:val="0"/>
                <w:color w:val="auto"/>
                <w:sz w:val="21"/>
                <w:szCs w:val="21"/>
                <w:lang w:val="en-US" w:eastAsia="zh-CN"/>
              </w:rPr>
            </w:pPr>
          </w:p>
          <w:p w14:paraId="5C8E59E7">
            <w:pPr>
              <w:adjustRightInd w:val="0"/>
              <w:snapToGrid w:val="0"/>
              <w:spacing w:line="240" w:lineRule="auto"/>
              <w:jc w:val="both"/>
              <w:rPr>
                <w:rFonts w:hint="default" w:ascii="Times New Roman" w:hAnsi="Times New Roman" w:eastAsia="方正仿宋_GBK" w:cs="Times New Roman"/>
                <w:b w:val="0"/>
                <w:bCs w:val="0"/>
                <w:color w:val="auto"/>
                <w:sz w:val="21"/>
                <w:szCs w:val="21"/>
                <w:lang w:val="en-US" w:eastAsia="zh-CN"/>
              </w:rPr>
            </w:pPr>
          </w:p>
          <w:p w14:paraId="6EC7CEAC">
            <w:pPr>
              <w:adjustRightInd w:val="0"/>
              <w:snapToGrid w:val="0"/>
              <w:spacing w:line="240" w:lineRule="auto"/>
              <w:ind w:firstLine="210" w:firstLineChars="100"/>
              <w:jc w:val="both"/>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4</w:t>
            </w:r>
          </w:p>
        </w:tc>
        <w:tc>
          <w:tcPr>
            <w:tcW w:w="2370" w:type="dxa"/>
            <w:vAlign w:val="top"/>
          </w:tcPr>
          <w:p w14:paraId="3D71635A">
            <w:pPr>
              <w:adjustRightInd w:val="0"/>
              <w:snapToGrid w:val="0"/>
              <w:spacing w:line="240" w:lineRule="auto"/>
              <w:jc w:val="both"/>
              <w:rPr>
                <w:rFonts w:hint="default" w:ascii="Times New Roman" w:hAnsi="Times New Roman" w:eastAsia="方正仿宋_GBK" w:cs="Times New Roman"/>
                <w:b w:val="0"/>
                <w:bCs w:val="0"/>
                <w:color w:val="auto"/>
                <w:sz w:val="21"/>
                <w:szCs w:val="21"/>
                <w:lang w:val="en-US" w:eastAsia="zh-CN"/>
              </w:rPr>
            </w:pPr>
          </w:p>
          <w:p w14:paraId="7A8CD9E9">
            <w:pPr>
              <w:adjustRightInd w:val="0"/>
              <w:snapToGrid w:val="0"/>
              <w:spacing w:line="240" w:lineRule="auto"/>
              <w:jc w:val="both"/>
              <w:rPr>
                <w:rFonts w:hint="default" w:ascii="Times New Roman" w:hAnsi="Times New Roman" w:eastAsia="方正仿宋_GBK" w:cs="Times New Roman"/>
                <w:b w:val="0"/>
                <w:bCs w:val="0"/>
                <w:color w:val="auto"/>
                <w:sz w:val="21"/>
                <w:szCs w:val="21"/>
                <w:lang w:val="en-US" w:eastAsia="zh-CN"/>
              </w:rPr>
            </w:pPr>
          </w:p>
          <w:p w14:paraId="26B09CBE">
            <w:pPr>
              <w:adjustRightInd w:val="0"/>
              <w:snapToGrid w:val="0"/>
              <w:spacing w:line="240" w:lineRule="auto"/>
              <w:jc w:val="both"/>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培训与资质管理（10分）</w:t>
            </w:r>
          </w:p>
        </w:tc>
        <w:tc>
          <w:tcPr>
            <w:tcW w:w="4785" w:type="dxa"/>
            <w:vAlign w:val="top"/>
          </w:tcPr>
          <w:p w14:paraId="6811B892">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rPr>
              <w:t>全员持有效健康证及上岗证，缺1人扣2分；年度培训参与率或考核合格率每低于90%一个百分点扣1分，扣完为止。</w:t>
            </w:r>
          </w:p>
        </w:tc>
        <w:tc>
          <w:tcPr>
            <w:tcW w:w="1290" w:type="dxa"/>
          </w:tcPr>
          <w:p w14:paraId="1FF8B8A5">
            <w:pPr>
              <w:jc w:val="center"/>
              <w:rPr>
                <w:rFonts w:hint="default" w:ascii="Times New Roman" w:hAnsi="Times New Roman" w:eastAsia="仿宋" w:cs="Times New Roman"/>
                <w:sz w:val="24"/>
                <w:highlight w:val="none"/>
                <w:lang w:val="en-US" w:eastAsia="zh-CN"/>
              </w:rPr>
            </w:pPr>
          </w:p>
        </w:tc>
        <w:tc>
          <w:tcPr>
            <w:tcW w:w="705" w:type="dxa"/>
          </w:tcPr>
          <w:p w14:paraId="47DFA310">
            <w:pPr>
              <w:jc w:val="center"/>
              <w:rPr>
                <w:rFonts w:hint="default" w:ascii="Times New Roman" w:hAnsi="Times New Roman" w:eastAsia="仿宋" w:cs="Times New Roman"/>
                <w:sz w:val="24"/>
                <w:highlight w:val="none"/>
                <w:lang w:eastAsia="zh-CN"/>
              </w:rPr>
            </w:pPr>
          </w:p>
        </w:tc>
      </w:tr>
      <w:tr w14:paraId="52118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795" w:type="dxa"/>
          </w:tcPr>
          <w:p w14:paraId="0D13189D">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p>
          <w:p w14:paraId="3AF6F48C">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5</w:t>
            </w:r>
          </w:p>
        </w:tc>
        <w:tc>
          <w:tcPr>
            <w:tcW w:w="2370" w:type="dxa"/>
            <w:vAlign w:val="top"/>
          </w:tcPr>
          <w:p w14:paraId="4444AF31">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p>
          <w:p w14:paraId="6C622FE3">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投诉与安全事件（</w:t>
            </w:r>
            <w:r>
              <w:rPr>
                <w:rFonts w:hint="eastAsia" w:eastAsia="方正仿宋_GBK" w:cs="Times New Roman"/>
                <w:b w:val="0"/>
                <w:bCs w:val="0"/>
                <w:color w:val="auto"/>
                <w:sz w:val="21"/>
                <w:szCs w:val="21"/>
                <w:lang w:val="en-US" w:eastAsia="zh-CN"/>
              </w:rPr>
              <w:t>15</w:t>
            </w:r>
            <w:r>
              <w:rPr>
                <w:rFonts w:hint="default" w:ascii="Times New Roman" w:hAnsi="Times New Roman" w:eastAsia="方正仿宋_GBK" w:cs="Times New Roman"/>
                <w:b w:val="0"/>
                <w:bCs w:val="0"/>
                <w:color w:val="auto"/>
                <w:sz w:val="21"/>
                <w:szCs w:val="21"/>
                <w:lang w:val="en-US" w:eastAsia="zh-CN"/>
              </w:rPr>
              <w:t>分）</w:t>
            </w:r>
          </w:p>
        </w:tc>
        <w:tc>
          <w:tcPr>
            <w:tcW w:w="4785" w:type="dxa"/>
            <w:vAlign w:val="top"/>
          </w:tcPr>
          <w:p w14:paraId="660D624D">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rPr>
              <w:t>全年有效投诉1-2起扣3分，≥3起扣5分；安全事件：一般事件1起扣2分，严重事件扣5分。</w:t>
            </w:r>
          </w:p>
        </w:tc>
        <w:tc>
          <w:tcPr>
            <w:tcW w:w="1290" w:type="dxa"/>
          </w:tcPr>
          <w:p w14:paraId="7EA2A024">
            <w:pPr>
              <w:jc w:val="center"/>
              <w:rPr>
                <w:rFonts w:hint="default" w:ascii="Times New Roman" w:hAnsi="Times New Roman" w:eastAsia="仿宋" w:cs="Times New Roman"/>
                <w:sz w:val="24"/>
                <w:highlight w:val="none"/>
                <w:lang w:val="en-US" w:eastAsia="zh-CN"/>
              </w:rPr>
            </w:pPr>
          </w:p>
        </w:tc>
        <w:tc>
          <w:tcPr>
            <w:tcW w:w="705" w:type="dxa"/>
          </w:tcPr>
          <w:p w14:paraId="031B06A7">
            <w:pPr>
              <w:jc w:val="center"/>
              <w:rPr>
                <w:rFonts w:hint="default" w:ascii="Times New Roman" w:hAnsi="Times New Roman" w:eastAsia="仿宋" w:cs="Times New Roman"/>
                <w:sz w:val="24"/>
                <w:highlight w:val="none"/>
                <w:lang w:eastAsia="zh-CN"/>
              </w:rPr>
            </w:pPr>
          </w:p>
        </w:tc>
      </w:tr>
      <w:tr w14:paraId="7F35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8" w:hRule="atLeast"/>
        </w:trPr>
        <w:tc>
          <w:tcPr>
            <w:tcW w:w="795" w:type="dxa"/>
          </w:tcPr>
          <w:p w14:paraId="551702ED">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p>
          <w:p w14:paraId="068E2F16">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6</w:t>
            </w:r>
          </w:p>
        </w:tc>
        <w:tc>
          <w:tcPr>
            <w:tcW w:w="2370" w:type="dxa"/>
            <w:vAlign w:val="top"/>
          </w:tcPr>
          <w:p w14:paraId="243FCDCD">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p>
          <w:p w14:paraId="37485B98">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综合配合度（5分）</w:t>
            </w:r>
          </w:p>
        </w:tc>
        <w:tc>
          <w:tcPr>
            <w:tcW w:w="4785" w:type="dxa"/>
            <w:vAlign w:val="top"/>
          </w:tcPr>
          <w:p w14:paraId="779A3814">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rPr>
              <w:t>科室</w:t>
            </w:r>
            <w:r>
              <w:rPr>
                <w:rFonts w:hint="eastAsia" w:eastAsia="方正仿宋_GBK" w:cs="Times New Roman"/>
                <w:b w:val="0"/>
                <w:bCs w:val="0"/>
                <w:color w:val="auto"/>
                <w:sz w:val="21"/>
                <w:szCs w:val="21"/>
                <w:lang w:val="en-US" w:eastAsia="zh-CN"/>
              </w:rPr>
              <w:t>配合度</w:t>
            </w:r>
            <w:r>
              <w:rPr>
                <w:rFonts w:hint="default" w:ascii="Times New Roman" w:hAnsi="Times New Roman" w:eastAsia="方正仿宋_GBK" w:cs="Times New Roman"/>
                <w:b w:val="0"/>
                <w:bCs w:val="0"/>
                <w:color w:val="auto"/>
                <w:sz w:val="21"/>
                <w:szCs w:val="21"/>
              </w:rPr>
              <w:t>一般扣2分，差扣5分；存在违规记录酌情扣1-5分。</w:t>
            </w:r>
          </w:p>
        </w:tc>
        <w:tc>
          <w:tcPr>
            <w:tcW w:w="1290" w:type="dxa"/>
          </w:tcPr>
          <w:p w14:paraId="722595A2">
            <w:pPr>
              <w:jc w:val="center"/>
              <w:rPr>
                <w:rFonts w:hint="default" w:ascii="Times New Roman" w:hAnsi="Times New Roman" w:eastAsia="仿宋" w:cs="Times New Roman"/>
                <w:sz w:val="24"/>
                <w:highlight w:val="none"/>
                <w:lang w:val="en-US" w:eastAsia="zh-CN"/>
              </w:rPr>
            </w:pPr>
          </w:p>
        </w:tc>
        <w:tc>
          <w:tcPr>
            <w:tcW w:w="705" w:type="dxa"/>
          </w:tcPr>
          <w:p w14:paraId="0DDE6C5A">
            <w:pPr>
              <w:jc w:val="center"/>
              <w:rPr>
                <w:rFonts w:hint="default" w:ascii="Times New Roman" w:hAnsi="Times New Roman" w:eastAsia="仿宋" w:cs="Times New Roman"/>
                <w:sz w:val="24"/>
                <w:highlight w:val="none"/>
                <w:lang w:eastAsia="zh-CN"/>
              </w:rPr>
            </w:pPr>
          </w:p>
        </w:tc>
      </w:tr>
      <w:tr w14:paraId="671E3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795" w:type="dxa"/>
          </w:tcPr>
          <w:p w14:paraId="158AF630">
            <w:pPr>
              <w:jc w:val="center"/>
              <w:rPr>
                <w:rFonts w:hint="default" w:ascii="Times New Roman" w:hAnsi="Times New Roman" w:eastAsia="仿宋" w:cs="Times New Roman"/>
                <w:sz w:val="24"/>
                <w:highlight w:val="none"/>
                <w:lang w:val="en-US" w:eastAsia="zh-CN"/>
              </w:rPr>
            </w:pPr>
          </w:p>
        </w:tc>
        <w:tc>
          <w:tcPr>
            <w:tcW w:w="2370" w:type="dxa"/>
          </w:tcPr>
          <w:p w14:paraId="2C7A719C">
            <w:pPr>
              <w:adjustRightInd w:val="0"/>
              <w:snapToGrid w:val="0"/>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合计（100分）</w:t>
            </w:r>
          </w:p>
        </w:tc>
        <w:tc>
          <w:tcPr>
            <w:tcW w:w="4785" w:type="dxa"/>
          </w:tcPr>
          <w:p w14:paraId="4F1808AA">
            <w:pPr>
              <w:jc w:val="center"/>
              <w:rPr>
                <w:rFonts w:hint="default" w:ascii="Times New Roman" w:hAnsi="Times New Roman" w:eastAsia="仿宋" w:cs="Times New Roman"/>
                <w:sz w:val="24"/>
                <w:highlight w:val="none"/>
                <w:lang w:val="en-US" w:eastAsia="zh-CN"/>
              </w:rPr>
            </w:pPr>
          </w:p>
        </w:tc>
        <w:tc>
          <w:tcPr>
            <w:tcW w:w="1290" w:type="dxa"/>
          </w:tcPr>
          <w:p w14:paraId="3EA3A5AC">
            <w:pPr>
              <w:jc w:val="center"/>
              <w:rPr>
                <w:rFonts w:hint="default" w:ascii="Times New Roman" w:hAnsi="Times New Roman" w:eastAsia="仿宋" w:cs="Times New Roman"/>
                <w:sz w:val="24"/>
                <w:highlight w:val="none"/>
                <w:lang w:val="en-US" w:eastAsia="zh-CN"/>
              </w:rPr>
            </w:pPr>
          </w:p>
        </w:tc>
        <w:tc>
          <w:tcPr>
            <w:tcW w:w="705" w:type="dxa"/>
          </w:tcPr>
          <w:p w14:paraId="182569C8">
            <w:pPr>
              <w:jc w:val="center"/>
              <w:rPr>
                <w:rFonts w:hint="default" w:ascii="Times New Roman" w:hAnsi="Times New Roman" w:eastAsia="仿宋" w:cs="Times New Roman"/>
                <w:sz w:val="24"/>
                <w:highlight w:val="none"/>
                <w:lang w:eastAsia="zh-CN"/>
              </w:rPr>
            </w:pPr>
          </w:p>
        </w:tc>
      </w:tr>
    </w:tbl>
    <w:p w14:paraId="79690943">
      <w:pPr>
        <w:pStyle w:val="14"/>
        <w:bidi w:val="0"/>
        <w:rPr>
          <w:rFonts w:hint="default" w:ascii="Times New Roman" w:hAnsi="Times New Roman" w:cs="Times New Roman"/>
          <w:color w:val="auto"/>
        </w:rPr>
      </w:pP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六）</w:t>
      </w:r>
      <w:r>
        <w:rPr>
          <w:rFonts w:hint="default" w:ascii="Times New Roman" w:hAnsi="Times New Roman" w:cs="Times New Roman"/>
          <w:color w:val="auto"/>
        </w:rPr>
        <w:t>处罚</w:t>
      </w:r>
    </w:p>
    <w:p w14:paraId="1EF0B70A">
      <w:pPr>
        <w:pStyle w:val="14"/>
        <w:bidi w:val="0"/>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w:t>
      </w:r>
      <w:r>
        <w:rPr>
          <w:rFonts w:hint="default" w:ascii="Times New Roman" w:hAnsi="Times New Roman" w:cs="Times New Roman"/>
          <w:color w:val="auto"/>
          <w:lang w:eastAsia="zh-CN"/>
        </w:rPr>
        <w:t>成交供应商</w:t>
      </w:r>
      <w:r>
        <w:rPr>
          <w:rFonts w:hint="default" w:ascii="Times New Roman" w:hAnsi="Times New Roman" w:cs="Times New Roman"/>
          <w:color w:val="auto"/>
        </w:rPr>
        <w:t>服务期间，一个月内被患者或家属投诉一次罚款</w:t>
      </w:r>
      <w:r>
        <w:rPr>
          <w:rFonts w:hint="default" w:ascii="Times New Roman" w:hAnsi="Times New Roman" w:cs="Times New Roman"/>
          <w:color w:val="auto"/>
          <w:lang w:val="en-US" w:eastAsia="zh-CN"/>
        </w:rPr>
        <w:t>200</w:t>
      </w:r>
      <w:r>
        <w:rPr>
          <w:rFonts w:hint="default" w:ascii="Times New Roman" w:hAnsi="Times New Roman" w:cs="Times New Roman"/>
          <w:color w:val="auto"/>
        </w:rPr>
        <w:t>元，第二次被投诉罚款</w:t>
      </w:r>
      <w:r>
        <w:rPr>
          <w:rFonts w:hint="default" w:ascii="Times New Roman" w:hAnsi="Times New Roman" w:cs="Times New Roman"/>
          <w:color w:val="auto"/>
          <w:lang w:val="en-US" w:eastAsia="zh-CN"/>
        </w:rPr>
        <w:t>400</w:t>
      </w:r>
      <w:r>
        <w:rPr>
          <w:rFonts w:hint="default" w:ascii="Times New Roman" w:hAnsi="Times New Roman" w:cs="Times New Roman"/>
          <w:color w:val="auto"/>
        </w:rPr>
        <w:t>元，第三次被投诉罚款</w:t>
      </w:r>
      <w:r>
        <w:rPr>
          <w:rFonts w:hint="default" w:ascii="Times New Roman" w:hAnsi="Times New Roman" w:cs="Times New Roman"/>
          <w:color w:val="auto"/>
          <w:lang w:val="en-US" w:eastAsia="zh-CN"/>
        </w:rPr>
        <w:t>800</w:t>
      </w:r>
      <w:r>
        <w:rPr>
          <w:rFonts w:hint="default" w:ascii="Times New Roman" w:hAnsi="Times New Roman" w:cs="Times New Roman"/>
          <w:color w:val="auto"/>
        </w:rPr>
        <w:t>元，执行翻倍式罚款制度。</w:t>
      </w:r>
    </w:p>
    <w:p w14:paraId="3649BCC7">
      <w:pPr>
        <w:pStyle w:val="14"/>
        <w:bidi w:val="0"/>
        <w:rPr>
          <w:rFonts w:hint="default" w:ascii="Times New Roman" w:hAnsi="Times New Roman" w:cs="Times New Roman"/>
          <w:color w:val="auto"/>
        </w:rPr>
      </w:pPr>
      <w:r>
        <w:rPr>
          <w:rFonts w:hint="default" w:ascii="Times New Roman" w:hAnsi="Times New Roman" w:cs="Times New Roman"/>
          <w:color w:val="auto"/>
        </w:rPr>
        <w:t>2</w:t>
      </w:r>
      <w:r>
        <w:rPr>
          <w:rFonts w:hint="default" w:ascii="Times New Roman" w:hAnsi="Times New Roman" w:cs="Times New Roman"/>
          <w:color w:val="auto"/>
          <w:lang w:val="en-US" w:eastAsia="zh-CN"/>
        </w:rPr>
        <w:t>.</w:t>
      </w:r>
      <w:r>
        <w:rPr>
          <w:rFonts w:hint="default" w:ascii="Times New Roman" w:hAnsi="Times New Roman" w:cs="Times New Roman"/>
          <w:color w:val="auto"/>
        </w:rPr>
        <w:t>医院</w:t>
      </w:r>
      <w:r>
        <w:rPr>
          <w:rFonts w:hint="default" w:ascii="Times New Roman" w:hAnsi="Times New Roman" w:cs="Times New Roman"/>
          <w:color w:val="auto"/>
          <w:lang w:val="en-US" w:eastAsia="zh-CN"/>
        </w:rPr>
        <w:t>根据</w:t>
      </w:r>
      <w:r>
        <w:rPr>
          <w:rFonts w:hint="default" w:ascii="Times New Roman" w:hAnsi="Times New Roman" w:cs="Times New Roman"/>
          <w:color w:val="auto"/>
          <w:lang w:eastAsia="zh-CN"/>
        </w:rPr>
        <w:t>《住院患者陪护</w:t>
      </w:r>
      <w:r>
        <w:rPr>
          <w:rFonts w:hint="default" w:ascii="Times New Roman" w:hAnsi="Times New Roman" w:cs="Times New Roman"/>
          <w:color w:val="auto"/>
        </w:rPr>
        <w:t>考核标准</w:t>
      </w:r>
      <w:r>
        <w:rPr>
          <w:rFonts w:hint="default" w:ascii="Times New Roman" w:hAnsi="Times New Roman" w:cs="Times New Roman"/>
          <w:color w:val="auto"/>
          <w:lang w:eastAsia="zh-CN"/>
        </w:rPr>
        <w:t>》</w:t>
      </w:r>
      <w:r>
        <w:rPr>
          <w:rFonts w:hint="default" w:ascii="Times New Roman" w:hAnsi="Times New Roman" w:cs="Times New Roman"/>
          <w:color w:val="auto"/>
          <w:lang w:val="en-US" w:eastAsia="zh-CN"/>
        </w:rPr>
        <w:t>进行</w:t>
      </w:r>
      <w:r>
        <w:rPr>
          <w:rFonts w:hint="default" w:ascii="Times New Roman" w:hAnsi="Times New Roman" w:cs="Times New Roman"/>
          <w:color w:val="auto"/>
        </w:rPr>
        <w:t>考核</w:t>
      </w:r>
      <w:r>
        <w:rPr>
          <w:rFonts w:hint="default" w:ascii="Times New Roman" w:hAnsi="Times New Roman" w:cs="Times New Roman"/>
          <w:color w:val="auto"/>
          <w:lang w:val="en-US" w:eastAsia="zh-CN"/>
        </w:rPr>
        <w:t>，</w:t>
      </w:r>
      <w:r>
        <w:rPr>
          <w:rFonts w:hint="default" w:ascii="Times New Roman" w:hAnsi="Times New Roman" w:cs="Times New Roman"/>
          <w:color w:val="auto"/>
        </w:rPr>
        <w:t>低于80分将给予</w:t>
      </w:r>
      <w:r>
        <w:rPr>
          <w:rFonts w:hint="default" w:ascii="Times New Roman" w:hAnsi="Times New Roman" w:cs="Times New Roman"/>
          <w:color w:val="auto"/>
          <w:lang w:eastAsia="zh-CN"/>
        </w:rPr>
        <w:t>成交供应商</w:t>
      </w:r>
      <w:r>
        <w:rPr>
          <w:rFonts w:hint="default" w:ascii="Times New Roman" w:hAnsi="Times New Roman" w:cs="Times New Roman"/>
          <w:color w:val="auto"/>
        </w:rPr>
        <w:t>500-2000元不等处罚。</w:t>
      </w:r>
      <w:r>
        <w:rPr>
          <w:rFonts w:hint="default" w:ascii="Times New Roman" w:hAnsi="Times New Roman" w:cs="Times New Roman"/>
          <w:color w:val="auto"/>
          <w:lang w:val="en-US" w:eastAsia="zh-CN"/>
        </w:rPr>
        <w:t>针对发生严重差错事故、纠纷投诉、违规或超标准收取患者费用、向第三方机构或个人泄露患者隐私并存在利益输送的护工以及对医院造成了严重影响的，医院有权要求辞退该工作人员。</w:t>
      </w:r>
    </w:p>
    <w:p w14:paraId="10E4186C">
      <w:pPr>
        <w:pStyle w:val="14"/>
        <w:bidi w:val="0"/>
        <w:rPr>
          <w:rFonts w:hint="default" w:ascii="Times New Roman" w:hAnsi="Times New Roman" w:cs="Times New Roman"/>
          <w:color w:val="auto"/>
          <w:lang w:eastAsia="zh-CN"/>
        </w:rPr>
      </w:pPr>
      <w:r>
        <w:rPr>
          <w:rFonts w:hint="default" w:ascii="Times New Roman" w:hAnsi="Times New Roman" w:cs="Times New Roman"/>
          <w:color w:val="auto"/>
        </w:rPr>
        <w:t>3</w:t>
      </w:r>
      <w:r>
        <w:rPr>
          <w:rFonts w:hint="default" w:ascii="Times New Roman" w:hAnsi="Times New Roman" w:cs="Times New Roman"/>
          <w:color w:val="auto"/>
          <w:lang w:val="en-US" w:eastAsia="zh-CN"/>
        </w:rPr>
        <w:t>.成交供应商</w:t>
      </w:r>
      <w:r>
        <w:rPr>
          <w:rFonts w:hint="default" w:ascii="Times New Roman" w:hAnsi="Times New Roman" w:cs="Times New Roman"/>
          <w:color w:val="auto"/>
          <w:lang w:eastAsia="zh-CN"/>
        </w:rPr>
        <w:t>针对护理过程中产生的纠纷，需购买相应保险。采购人</w:t>
      </w:r>
      <w:r>
        <w:rPr>
          <w:rFonts w:hint="default" w:ascii="Times New Roman" w:hAnsi="Times New Roman" w:cs="Times New Roman"/>
          <w:color w:val="auto"/>
        </w:rPr>
        <w:t>对</w:t>
      </w:r>
      <w:r>
        <w:rPr>
          <w:rFonts w:hint="default" w:ascii="Times New Roman" w:hAnsi="Times New Roman" w:cs="Times New Roman"/>
          <w:color w:val="auto"/>
          <w:lang w:eastAsia="zh-CN"/>
        </w:rPr>
        <w:t>成交供应商</w:t>
      </w:r>
      <w:r>
        <w:rPr>
          <w:rFonts w:hint="default" w:ascii="Times New Roman" w:hAnsi="Times New Roman" w:cs="Times New Roman"/>
          <w:color w:val="auto"/>
        </w:rPr>
        <w:t>在提供服务期间因过错造成的纠纷和损失，</w:t>
      </w:r>
      <w:r>
        <w:rPr>
          <w:rFonts w:hint="default" w:ascii="Times New Roman" w:hAnsi="Times New Roman" w:cs="Times New Roman"/>
          <w:color w:val="auto"/>
          <w:lang w:eastAsia="zh-CN"/>
        </w:rPr>
        <w:t>采购人</w:t>
      </w:r>
      <w:r>
        <w:rPr>
          <w:rFonts w:hint="default" w:ascii="Times New Roman" w:hAnsi="Times New Roman" w:cs="Times New Roman"/>
          <w:color w:val="auto"/>
        </w:rPr>
        <w:t>不承担任何责任</w:t>
      </w:r>
      <w:r>
        <w:rPr>
          <w:rFonts w:hint="default" w:ascii="Times New Roman" w:hAnsi="Times New Roman" w:cs="Times New Roman"/>
          <w:color w:val="auto"/>
          <w:lang w:eastAsia="zh-CN"/>
        </w:rPr>
        <w:t>。</w:t>
      </w:r>
    </w:p>
    <w:p w14:paraId="0775E427">
      <w:pPr>
        <w:pStyle w:val="14"/>
        <w:bidi w:val="0"/>
        <w:rPr>
          <w:rFonts w:hint="default" w:ascii="Times New Roman" w:hAnsi="Times New Roman" w:cs="Times New Roman"/>
          <w:color w:val="auto"/>
          <w:lang w:eastAsia="zh-CN"/>
        </w:rPr>
      </w:pPr>
      <w:r>
        <w:rPr>
          <w:rFonts w:hint="default" w:ascii="Times New Roman" w:hAnsi="Times New Roman" w:cs="Times New Roman"/>
          <w:color w:val="auto"/>
          <w:lang w:val="en-US" w:eastAsia="zh-CN"/>
        </w:rPr>
        <w:t>4.</w:t>
      </w:r>
      <w:r>
        <w:rPr>
          <w:rFonts w:hint="default" w:ascii="Times New Roman" w:hAnsi="Times New Roman" w:cs="Times New Roman"/>
          <w:color w:val="auto"/>
          <w:lang w:eastAsia="zh-CN"/>
        </w:rPr>
        <w:t>陪护服务收费以甲方确认的公开价目表为准，不得私下加价或收取合同外任何费用。若发现私自向患者或其家属收费（无论金额大小、名义为何），每次</w:t>
      </w:r>
      <w:r>
        <w:rPr>
          <w:rFonts w:hint="default" w:ascii="Times New Roman" w:hAnsi="Times New Roman" w:cs="Times New Roman"/>
          <w:color w:val="auto"/>
          <w:lang w:val="en-US" w:eastAsia="zh-CN"/>
        </w:rPr>
        <w:t>罚款乙</w:t>
      </w:r>
      <w:r>
        <w:rPr>
          <w:rFonts w:hint="default" w:ascii="Times New Roman" w:hAnsi="Times New Roman" w:cs="Times New Roman"/>
          <w:color w:val="auto"/>
          <w:lang w:eastAsia="zh-CN"/>
        </w:rPr>
        <w:t>方500元，并责令其立即将多收/私收的费用全额退还给患者。</w:t>
      </w:r>
      <w:r>
        <w:rPr>
          <w:rFonts w:hint="default" w:ascii="Times New Roman" w:hAnsi="Times New Roman" w:cs="Times New Roman"/>
          <w:color w:val="auto"/>
          <w:lang w:val="en-US" w:eastAsia="zh-CN"/>
        </w:rPr>
        <w:t>且</w:t>
      </w:r>
      <w:r>
        <w:rPr>
          <w:rFonts w:hint="default" w:ascii="Times New Roman" w:hAnsi="Times New Roman" w:cs="Times New Roman"/>
          <w:color w:val="auto"/>
          <w:lang w:eastAsia="zh-CN"/>
        </w:rPr>
        <w:t>医院有权要求</w:t>
      </w:r>
      <w:r>
        <w:rPr>
          <w:rFonts w:hint="default" w:ascii="Times New Roman" w:hAnsi="Times New Roman" w:cs="Times New Roman"/>
          <w:color w:val="auto"/>
          <w:lang w:val="en-US" w:eastAsia="zh-CN"/>
        </w:rPr>
        <w:t>乙方</w:t>
      </w:r>
      <w:r>
        <w:rPr>
          <w:rFonts w:hint="default" w:ascii="Times New Roman" w:hAnsi="Times New Roman" w:cs="Times New Roman"/>
          <w:color w:val="auto"/>
          <w:lang w:eastAsia="zh-CN"/>
        </w:rPr>
        <w:t>不再继续聘用该人员。</w:t>
      </w:r>
    </w:p>
    <w:p w14:paraId="729AB36D">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5.乙方不得向患者或家属推荐、介绍、联系任何丧葬服务。违者：直接解除服务合同，并追究相关责任。</w:t>
      </w:r>
    </w:p>
    <w:p w14:paraId="4CE650AD">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6.母婴陪护专项处罚</w:t>
      </w:r>
    </w:p>
    <w:p w14:paraId="6E248D4E">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（1）母婴陪护人员未持有效母婴护理资格证书上岗的，一经查实，每人次罚款500元，并责令供应商立即更换该人员。</w:t>
      </w:r>
    </w:p>
    <w:p w14:paraId="374A8F6D">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（2）母婴陪护人员在服务过程中因操作不当或失职导致新生儿或产妇发生不良事件的，由供应商承担全部责任，采购人有权要求供应商辞退该人员，并根据事件严重程度追究供应商的法律责任。</w:t>
      </w:r>
    </w:p>
    <w:p w14:paraId="2DA4F166">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（3）月嫂服务收费高于公示标准或私下加收费用的，一经查实，每人次罚款500元，累计发生三次及以上的，采购人有权单方解除合同。</w:t>
      </w:r>
    </w:p>
    <w:p w14:paraId="16793E38">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（七）违约责任</w:t>
      </w:r>
    </w:p>
    <w:p w14:paraId="2ECC6FE3">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1.若发生以下情形之一的，成交供应商应向采购人支付一定数额的违约金：</w:t>
      </w:r>
    </w:p>
    <w:p w14:paraId="2980AFC5">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（1）成交供应商在</w:t>
      </w:r>
      <w:r>
        <w:rPr>
          <w:rFonts w:hint="eastAsia" w:ascii="Times New Roman" w:hAnsi="Times New Roman" w:cs="Times New Roman"/>
          <w:color w:val="auto"/>
          <w:lang w:val="en-US" w:eastAsia="zh-CN"/>
        </w:rPr>
        <w:t>陪护</w:t>
      </w:r>
      <w:r>
        <w:rPr>
          <w:rFonts w:hint="default" w:ascii="Times New Roman" w:hAnsi="Times New Roman" w:cs="Times New Roman"/>
          <w:color w:val="auto"/>
          <w:lang w:val="en-US" w:eastAsia="zh-CN"/>
        </w:rPr>
        <w:t>管理过程中擅自将采购人的名称用于公司的印章、标识、铭牌、各种宣传资料、合同资料、收费票据等，足以使患者及家属误认成交供应商为采购人分支机构、代理机构的，支付违约金1万元；</w:t>
      </w:r>
    </w:p>
    <w:p w14:paraId="5F915AF3">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（2）向患者及家属做出与采购人有隶属关系、代理关系误导宣传的，支付违约金1万元；</w:t>
      </w:r>
    </w:p>
    <w:p w14:paraId="3C874E6E">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（3）成交供应商使用的服装、配饰与采购人员工所使用的服装、配饰相同，导致他人混淆的，支付违约金1万元；</w:t>
      </w:r>
    </w:p>
    <w:p w14:paraId="79146899">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（4）成交供应商员工发生伤害他人的行为或有盗窃行为，支付违约金1万元，并根据实际情况追究相关责任；</w:t>
      </w:r>
    </w:p>
    <w:p w14:paraId="2C252449">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陪护服务收费以甲方确认的公开价目表为准，乙方不得在约定标准之外，以任何名义向患者或家属私下收取额外费用。如乙方发生私自收费行为，一经查实：乙方须立即将违规收取的费用全额退还患者；甲方有权对乙方处以每次人民币500元的罚款；累计发生三次及以上违规收费行为的，甲方有权单方解除</w:t>
      </w:r>
      <w:r>
        <w:rPr>
          <w:rFonts w:hint="eastAsia" w:ascii="Times New Roman" w:hAnsi="Times New Roman" w:cs="Times New Roman"/>
          <w:color w:val="auto"/>
          <w:lang w:val="en-US" w:eastAsia="zh-CN"/>
        </w:rPr>
        <w:t>本合同</w:t>
      </w:r>
      <w:r>
        <w:rPr>
          <w:rFonts w:hint="default" w:ascii="Times New Roman" w:hAnsi="Times New Roman" w:cs="Times New Roman"/>
          <w:color w:val="auto"/>
          <w:lang w:val="en-US" w:eastAsia="zh-CN"/>
        </w:rPr>
        <w:t>，且不承担任何违约责任。因违规收费引发患者投诉或纠纷，给甲方造成损失的，乙方应承担全部赔偿责任。</w:t>
      </w:r>
    </w:p>
    <w:p w14:paraId="77F6B94E">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2.若发生以下情形之一，采购人有权单方面解除本合同而无需承担违约责任：</w:t>
      </w:r>
    </w:p>
    <w:p w14:paraId="27D652AD">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（1）政府部门政策调整或上级部门的行政命令；</w:t>
      </w:r>
    </w:p>
    <w:p w14:paraId="649D0433">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（2）成交供应商方在一年内被有效投诉≥5次；</w:t>
      </w:r>
    </w:p>
    <w:p w14:paraId="2838FAE0">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（3）因成交供应商方过错，在一年内发生纠纷≥3次；</w:t>
      </w:r>
    </w:p>
    <w:p w14:paraId="6C9CBA09">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（4）成交供应商丧失民事主体及经营资格的；</w:t>
      </w:r>
    </w:p>
    <w:p w14:paraId="7AA39D5C">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（5）成交供应商在陪护管理过程中出现严重违法犯罪行为的；</w:t>
      </w:r>
    </w:p>
    <w:p w14:paraId="10BF0C48">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（6）年度考核低于80分即为不合格，不续签下年合同</w:t>
      </w:r>
      <w:r>
        <w:rPr>
          <w:rFonts w:hint="eastAsia" w:ascii="Times New Roman" w:hAnsi="Times New Roman" w:cs="Times New Roman"/>
          <w:color w:val="auto"/>
          <w:lang w:val="en-US" w:eastAsia="zh-CN"/>
        </w:rPr>
        <w:t>；</w:t>
      </w:r>
    </w:p>
    <w:p w14:paraId="1E7B7C77">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（7）成交供应商擅自将本合同项下权利及义务转让给他人的。</w:t>
      </w:r>
    </w:p>
    <w:p w14:paraId="75093C50">
      <w:pPr>
        <w:pStyle w:val="14"/>
        <w:bidi w:val="0"/>
        <w:rPr>
          <w:rFonts w:hint="default" w:ascii="Times New Roman" w:hAnsi="Times New Roman" w:eastAsia="仿宋" w:cs="Times New Roman"/>
          <w:color w:val="auto"/>
          <w:szCs w:val="24"/>
        </w:rPr>
      </w:pPr>
      <w:r>
        <w:rPr>
          <w:rFonts w:hint="default" w:ascii="Times New Roman" w:hAnsi="Times New Roman" w:cs="Times New Roman"/>
          <w:color w:val="auto"/>
          <w:lang w:val="en-US" w:eastAsia="zh-CN"/>
        </w:rPr>
        <w:t>3.合同期限届满或合同被终止/解除之日起七日内，成交供应商方应负责将全部陪护人员及其物品全部撤离采购人所有病区，逾期撤离的，成交供应商应向采购人支付违约金5万元。逾期滞留在采购人病区的成交供应商或护工个人物品，视为成交供应商或护工放弃所有权，采购人有权处置而无需支付任何补偿。</w:t>
      </w:r>
      <w:r>
        <w:rPr>
          <w:rFonts w:hint="default" w:ascii="Times New Roman" w:hAnsi="Times New Roman" w:eastAsia="仿宋" w:cs="Times New Roman"/>
          <w:color w:val="auto"/>
          <w:szCs w:val="24"/>
        </w:rPr>
        <w:br w:type="page"/>
      </w:r>
    </w:p>
    <w:p w14:paraId="7D90D175">
      <w:pPr>
        <w:pStyle w:val="16"/>
        <w:bidi w:val="0"/>
        <w:rPr>
          <w:rFonts w:hint="default" w:ascii="Times New Roman" w:hAnsi="Times New Roman" w:cs="Times New Roman"/>
          <w:color w:val="auto"/>
        </w:rPr>
      </w:pPr>
      <w:r>
        <w:rPr>
          <w:rFonts w:hint="default" w:ascii="Times New Roman" w:hAnsi="Times New Roman" w:cs="Times New Roman"/>
          <w:color w:val="auto"/>
        </w:rPr>
        <w:t xml:space="preserve">第三篇 </w:t>
      </w:r>
      <w:bookmarkEnd w:id="39"/>
      <w:r>
        <w:rPr>
          <w:rFonts w:hint="default" w:ascii="Times New Roman" w:hAnsi="Times New Roman" w:cs="Times New Roman"/>
          <w:color w:val="auto"/>
        </w:rPr>
        <w:t>项目商务需求</w:t>
      </w:r>
      <w:bookmarkEnd w:id="44"/>
    </w:p>
    <w:p w14:paraId="33D6827F">
      <w:pPr>
        <w:pStyle w:val="15"/>
        <w:bidi w:val="0"/>
        <w:rPr>
          <w:rFonts w:hint="default" w:ascii="Times New Roman" w:hAnsi="Times New Roman" w:cs="Times New Roman"/>
          <w:color w:val="auto"/>
        </w:rPr>
      </w:pPr>
      <w:bookmarkStart w:id="45" w:name="_Toc19786036"/>
      <w:bookmarkStart w:id="46" w:name="_Toc104806981"/>
      <w:bookmarkStart w:id="47" w:name="_Toc10423"/>
      <w:bookmarkStart w:id="48" w:name="_Toc27747"/>
      <w:bookmarkStart w:id="49" w:name="_Toc29813"/>
      <w:bookmarkStart w:id="50" w:name="_Toc344475121"/>
      <w:bookmarkStart w:id="51" w:name="_Toc21511826"/>
      <w:bookmarkStart w:id="52" w:name="_Toc26408"/>
      <w:bookmarkStart w:id="53" w:name="_Toc342913389"/>
      <w:r>
        <w:rPr>
          <w:rFonts w:hint="default" w:ascii="Times New Roman" w:hAnsi="Times New Roman" w:cs="Times New Roman"/>
          <w:color w:val="auto"/>
        </w:rPr>
        <w:t>一、</w:t>
      </w:r>
      <w:bookmarkEnd w:id="45"/>
      <w:bookmarkEnd w:id="46"/>
      <w:bookmarkEnd w:id="47"/>
      <w:r>
        <w:rPr>
          <w:rFonts w:hint="default" w:ascii="Times New Roman" w:hAnsi="Times New Roman" w:cs="Times New Roman"/>
          <w:color w:val="auto"/>
        </w:rPr>
        <w:t>服务期、服务地点、</w:t>
      </w:r>
      <w:r>
        <w:rPr>
          <w:rFonts w:hint="default" w:ascii="Times New Roman" w:hAnsi="Times New Roman" w:cs="Times New Roman"/>
          <w:color w:val="auto"/>
          <w:lang w:val="en-US" w:eastAsia="zh-CN"/>
        </w:rPr>
        <w:t>服务内容、</w:t>
      </w:r>
      <w:r>
        <w:rPr>
          <w:rFonts w:hint="default" w:ascii="Times New Roman" w:hAnsi="Times New Roman" w:cs="Times New Roman"/>
          <w:color w:val="auto"/>
        </w:rPr>
        <w:t>验收方式及售后服务</w:t>
      </w:r>
      <w:bookmarkEnd w:id="48"/>
      <w:bookmarkEnd w:id="49"/>
    </w:p>
    <w:p w14:paraId="292943FF">
      <w:pPr>
        <w:pStyle w:val="14"/>
        <w:bidi w:val="0"/>
        <w:rPr>
          <w:rFonts w:hint="default" w:ascii="Times New Roman" w:hAnsi="Times New Roman" w:cs="Times New Roman"/>
          <w:color w:val="auto"/>
        </w:rPr>
      </w:pPr>
      <w:bookmarkStart w:id="54" w:name="_Toc17893"/>
      <w:bookmarkStart w:id="55" w:name="_Toc2897"/>
      <w:r>
        <w:rPr>
          <w:rFonts w:hint="default" w:ascii="Times New Roman" w:hAnsi="Times New Roman" w:cs="Times New Roman"/>
          <w:color w:val="auto"/>
        </w:rPr>
        <w:t>（一）服务期</w:t>
      </w:r>
      <w:bookmarkEnd w:id="54"/>
      <w:bookmarkEnd w:id="55"/>
    </w:p>
    <w:p w14:paraId="5F00F963">
      <w:pPr>
        <w:pStyle w:val="14"/>
        <w:bidi w:val="0"/>
        <w:rPr>
          <w:rFonts w:hint="default" w:ascii="Times New Roman" w:hAnsi="Times New Roman" w:cs="Times New Roman"/>
          <w:color w:val="auto"/>
          <w:lang w:eastAsia="zh-CN"/>
        </w:rPr>
      </w:pPr>
      <w:bookmarkStart w:id="56" w:name="_Toc6050"/>
      <w:bookmarkStart w:id="57" w:name="_Toc14120"/>
      <w:r>
        <w:rPr>
          <w:rFonts w:hint="default" w:ascii="Times New Roman" w:hAnsi="Times New Roman" w:cs="Times New Roman"/>
          <w:color w:val="auto"/>
        </w:rPr>
        <w:t>自合同签订之日起</w:t>
      </w:r>
      <w:r>
        <w:rPr>
          <w:rFonts w:hint="default" w:ascii="Times New Roman" w:hAnsi="Times New Roman" w:cs="Times New Roman"/>
          <w:color w:val="auto"/>
          <w:lang w:eastAsia="zh-CN"/>
        </w:rPr>
        <w:t>服务</w:t>
      </w:r>
      <w:r>
        <w:rPr>
          <w:rFonts w:hint="default" w:ascii="Times New Roman" w:hAnsi="Times New Roman" w:cs="Times New Roman"/>
          <w:color w:val="auto"/>
          <w:lang w:val="en-US" w:eastAsia="zh-CN"/>
        </w:rPr>
        <w:t>3年</w:t>
      </w:r>
      <w:bookmarkEnd w:id="56"/>
      <w:bookmarkEnd w:id="57"/>
      <w:bookmarkStart w:id="58" w:name="_Toc22000"/>
      <w:bookmarkStart w:id="59" w:name="_Toc10802"/>
      <w:r>
        <w:rPr>
          <w:rFonts w:hint="default" w:ascii="Times New Roman" w:hAnsi="Times New Roman" w:cs="Times New Roman"/>
          <w:color w:val="auto"/>
          <w:lang w:eastAsia="zh-CN"/>
        </w:rPr>
        <w:t>（合同一年一签，</w:t>
      </w:r>
      <w:r>
        <w:rPr>
          <w:rFonts w:hint="default" w:ascii="Times New Roman" w:hAnsi="Times New Roman" w:cs="Times New Roman"/>
          <w:color w:val="auto"/>
          <w:lang w:val="en-US" w:eastAsia="zh-CN"/>
        </w:rPr>
        <w:t>年度综合考核分≥80分后再签订，年度考核低于80分</w:t>
      </w:r>
      <w:r>
        <w:rPr>
          <w:rFonts w:hint="eastAsia" w:ascii="Times New Roman" w:hAnsi="Times New Roman" w:cs="Times New Roman"/>
          <w:color w:val="auto"/>
          <w:lang w:val="en-US" w:eastAsia="zh-CN"/>
        </w:rPr>
        <w:t>为</w:t>
      </w:r>
      <w:r>
        <w:rPr>
          <w:rFonts w:hint="default" w:ascii="Times New Roman" w:hAnsi="Times New Roman" w:cs="Times New Roman"/>
          <w:color w:val="auto"/>
          <w:lang w:val="en-US" w:eastAsia="zh-CN"/>
        </w:rPr>
        <w:t>不合格，自动终止合同</w:t>
      </w:r>
      <w:r>
        <w:rPr>
          <w:rFonts w:hint="default" w:ascii="Times New Roman" w:hAnsi="Times New Roman" w:cs="Times New Roman"/>
          <w:color w:val="auto"/>
          <w:lang w:eastAsia="zh-CN"/>
        </w:rPr>
        <w:t>）</w:t>
      </w:r>
    </w:p>
    <w:p w14:paraId="5E23ACDB">
      <w:pPr>
        <w:pStyle w:val="14"/>
        <w:bidi w:val="0"/>
        <w:rPr>
          <w:rFonts w:hint="default" w:ascii="Times New Roman" w:hAnsi="Times New Roman" w:cs="Times New Roman"/>
          <w:color w:val="auto"/>
          <w:highlight w:val="none"/>
        </w:rPr>
      </w:pPr>
      <w:r>
        <w:rPr>
          <w:rFonts w:hint="default" w:ascii="Times New Roman" w:hAnsi="Times New Roman" w:cs="Times New Roman"/>
          <w:color w:val="auto"/>
        </w:rPr>
        <w:t>（二）服</w:t>
      </w:r>
      <w:r>
        <w:rPr>
          <w:rFonts w:hint="default" w:ascii="Times New Roman" w:hAnsi="Times New Roman" w:cs="Times New Roman"/>
          <w:color w:val="auto"/>
          <w:highlight w:val="none"/>
        </w:rPr>
        <w:t>务地点</w:t>
      </w:r>
      <w:bookmarkEnd w:id="58"/>
      <w:bookmarkEnd w:id="59"/>
    </w:p>
    <w:p w14:paraId="339E39EA">
      <w:pPr>
        <w:pStyle w:val="14"/>
        <w:bidi w:val="0"/>
        <w:rPr>
          <w:rFonts w:hint="default" w:ascii="Times New Roman" w:hAnsi="Times New Roman" w:cs="Times New Roman"/>
          <w:color w:val="auto"/>
          <w:highlight w:val="none"/>
        </w:rPr>
      </w:pPr>
      <w:r>
        <w:rPr>
          <w:rFonts w:hint="default" w:ascii="Times New Roman" w:hAnsi="Times New Roman" w:eastAsia="仿宋" w:cs="Times New Roman"/>
          <w:b w:val="0"/>
          <w:bCs w:val="0"/>
          <w:kern w:val="0"/>
          <w:sz w:val="24"/>
          <w:szCs w:val="24"/>
          <w:highlight w:val="none"/>
          <w:lang w:eastAsia="zh-CN"/>
        </w:rPr>
        <w:t>重庆市红十字会医院</w:t>
      </w:r>
      <w:r>
        <w:rPr>
          <w:rFonts w:hint="default" w:ascii="Times New Roman" w:hAnsi="Times New Roman" w:eastAsia="仿宋" w:cs="Times New Roman"/>
          <w:b w:val="0"/>
          <w:bCs w:val="0"/>
          <w:kern w:val="0"/>
          <w:sz w:val="24"/>
          <w:szCs w:val="24"/>
          <w:highlight w:val="none"/>
          <w:lang w:val="en-US" w:eastAsia="zh-CN"/>
        </w:rPr>
        <w:t>五里店院区</w:t>
      </w:r>
    </w:p>
    <w:p w14:paraId="4EF2287F">
      <w:pPr>
        <w:pStyle w:val="14"/>
        <w:numPr>
          <w:ilvl w:val="0"/>
          <w:numId w:val="2"/>
        </w:num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服务</w:t>
      </w:r>
      <w:r>
        <w:rPr>
          <w:rFonts w:hint="default" w:ascii="Times New Roman" w:hAnsi="Times New Roman" w:cs="Times New Roman"/>
          <w:color w:val="auto"/>
          <w:highlight w:val="none"/>
          <w:lang w:val="en-US" w:eastAsia="zh-CN"/>
        </w:rPr>
        <w:t>内容</w:t>
      </w:r>
    </w:p>
    <w:p w14:paraId="642115A5">
      <w:pPr>
        <w:pStyle w:val="14"/>
        <w:numPr>
          <w:ilvl w:val="0"/>
          <w:numId w:val="0"/>
        </w:num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    </w:t>
      </w:r>
      <w:r>
        <w:rPr>
          <w:rFonts w:hint="default" w:ascii="Times New Roman" w:hAnsi="Times New Roman" w:eastAsia="仿宋" w:cs="Times New Roman"/>
          <w:b w:val="0"/>
          <w:bCs w:val="0"/>
          <w:kern w:val="0"/>
          <w:sz w:val="24"/>
          <w:szCs w:val="24"/>
          <w:highlight w:val="none"/>
          <w:lang w:eastAsia="zh-CN"/>
        </w:rPr>
        <w:t>重庆市红十字会医院</w:t>
      </w:r>
      <w:r>
        <w:rPr>
          <w:rFonts w:hint="default" w:ascii="Times New Roman" w:hAnsi="Times New Roman" w:eastAsia="仿宋" w:cs="Times New Roman"/>
          <w:b w:val="0"/>
          <w:bCs w:val="0"/>
          <w:kern w:val="0"/>
          <w:sz w:val="24"/>
          <w:szCs w:val="24"/>
          <w:highlight w:val="none"/>
          <w:lang w:val="en-US" w:eastAsia="zh-CN"/>
        </w:rPr>
        <w:t>五里店院区</w:t>
      </w:r>
      <w:r>
        <w:rPr>
          <w:rFonts w:hint="default" w:ascii="Times New Roman" w:hAnsi="Times New Roman" w:eastAsia="仿宋" w:cs="Times New Roman"/>
          <w:b w:val="0"/>
          <w:bCs w:val="0"/>
          <w:kern w:val="0"/>
          <w:sz w:val="24"/>
          <w:szCs w:val="24"/>
          <w:highlight w:val="none"/>
          <w:lang w:eastAsia="zh-CN"/>
        </w:rPr>
        <w:t>住院患者陪护服务，</w:t>
      </w:r>
      <w:r>
        <w:rPr>
          <w:rFonts w:hint="default" w:ascii="Times New Roman" w:hAnsi="Times New Roman" w:eastAsia="仿宋" w:cs="Times New Roman"/>
          <w:b w:val="0"/>
          <w:bCs w:val="0"/>
          <w:kern w:val="0"/>
          <w:sz w:val="24"/>
          <w:szCs w:val="24"/>
          <w:highlight w:val="none"/>
          <w:lang w:val="en-US" w:eastAsia="zh-CN"/>
        </w:rPr>
        <w:t>如在该服务地点开展增值服务，需另行签订补充协议约定服务内容。</w:t>
      </w:r>
    </w:p>
    <w:p w14:paraId="76A7C01B">
      <w:pPr>
        <w:pStyle w:val="14"/>
        <w:numPr>
          <w:ilvl w:val="0"/>
          <w:numId w:val="2"/>
        </w:numPr>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质量保证</w:t>
      </w:r>
      <w:bookmarkStart w:id="60" w:name="_Toc9390"/>
      <w:bookmarkStart w:id="61" w:name="_Toc23198"/>
    </w:p>
    <w:p w14:paraId="280E50C8">
      <w:pPr>
        <w:pStyle w:val="14"/>
        <w:bidi w:val="0"/>
        <w:rPr>
          <w:rFonts w:hint="default" w:ascii="Times New Roman" w:hAnsi="Times New Roman" w:cs="Times New Roman"/>
          <w:color w:val="auto"/>
          <w:lang w:val="zh-TW"/>
        </w:rPr>
      </w:pPr>
      <w:r>
        <w:rPr>
          <w:rFonts w:hint="default" w:ascii="Times New Roman" w:hAnsi="Times New Roman" w:cs="Times New Roman"/>
          <w:color w:val="auto"/>
          <w:lang w:val="en-US" w:eastAsia="zh-CN"/>
        </w:rPr>
        <w:t>1.采购人</w:t>
      </w:r>
      <w:r>
        <w:rPr>
          <w:rFonts w:hint="default" w:ascii="Times New Roman" w:hAnsi="Times New Roman" w:cs="Times New Roman"/>
          <w:color w:val="auto"/>
          <w:lang w:val="zh-TW"/>
        </w:rPr>
        <w:t>职能管理部门有权对</w:t>
      </w:r>
      <w:r>
        <w:rPr>
          <w:rFonts w:hint="default" w:ascii="Times New Roman" w:hAnsi="Times New Roman" w:cs="Times New Roman"/>
          <w:color w:val="auto"/>
          <w:lang w:val="zh-TW" w:eastAsia="zh-CN"/>
        </w:rPr>
        <w:t>成交供应商</w:t>
      </w:r>
      <w:r>
        <w:rPr>
          <w:rFonts w:hint="default" w:ascii="Times New Roman" w:hAnsi="Times New Roman" w:cs="Times New Roman"/>
          <w:color w:val="auto"/>
          <w:lang w:val="zh-TW"/>
        </w:rPr>
        <w:t>的业务进行指导、监督；不定期进行现场督查，发现问题及时与陪护公司管理人员沟通解决处理。</w:t>
      </w:r>
    </w:p>
    <w:p w14:paraId="3054B493">
      <w:pPr>
        <w:pStyle w:val="14"/>
        <w:bidi w:val="0"/>
        <w:rPr>
          <w:rFonts w:hint="default" w:ascii="Times New Roman" w:hAnsi="Times New Roman" w:cs="Times New Roman"/>
          <w:color w:val="auto"/>
          <w:lang w:val="zh-TW"/>
        </w:rPr>
      </w:pPr>
      <w:r>
        <w:rPr>
          <w:rFonts w:hint="default" w:ascii="Times New Roman" w:hAnsi="Times New Roman" w:cs="Times New Roman"/>
          <w:color w:val="auto"/>
          <w:lang w:val="en-US" w:eastAsia="zh-CN"/>
        </w:rPr>
        <w:t>2.</w:t>
      </w:r>
      <w:r>
        <w:rPr>
          <w:rFonts w:hint="default" w:ascii="Times New Roman" w:hAnsi="Times New Roman" w:cs="Times New Roman"/>
          <w:color w:val="auto"/>
          <w:lang w:val="zh-TW" w:eastAsia="zh-CN"/>
        </w:rPr>
        <w:t>成交供应商</w:t>
      </w:r>
      <w:r>
        <w:rPr>
          <w:rFonts w:hint="default" w:ascii="Times New Roman" w:hAnsi="Times New Roman" w:cs="Times New Roman"/>
          <w:color w:val="auto"/>
          <w:lang w:val="zh-TW"/>
        </w:rPr>
        <w:t>提供的服务未达到</w:t>
      </w:r>
      <w:r>
        <w:rPr>
          <w:rFonts w:hint="default" w:ascii="Times New Roman" w:hAnsi="Times New Roman" w:cs="Times New Roman"/>
          <w:color w:val="auto"/>
          <w:lang w:val="en-US" w:eastAsia="zh-CN"/>
        </w:rPr>
        <w:t>采购</w:t>
      </w:r>
      <w:r>
        <w:rPr>
          <w:rFonts w:hint="default" w:ascii="Times New Roman" w:hAnsi="Times New Roman" w:cs="Times New Roman"/>
          <w:color w:val="auto"/>
          <w:lang w:val="zh-TW" w:eastAsia="zh-CN"/>
        </w:rPr>
        <w:t>文件</w:t>
      </w:r>
      <w:r>
        <w:rPr>
          <w:rFonts w:hint="default" w:ascii="Times New Roman" w:hAnsi="Times New Roman" w:cs="Times New Roman"/>
          <w:color w:val="auto"/>
          <w:lang w:val="zh-TW"/>
        </w:rPr>
        <w:t>要求，且对</w:t>
      </w:r>
      <w:r>
        <w:rPr>
          <w:rFonts w:hint="default" w:ascii="Times New Roman" w:hAnsi="Times New Roman" w:cs="Times New Roman"/>
          <w:color w:val="auto"/>
          <w:lang w:val="en-US" w:eastAsia="zh-CN"/>
        </w:rPr>
        <w:t>采购人</w:t>
      </w:r>
      <w:r>
        <w:rPr>
          <w:rFonts w:hint="default" w:ascii="Times New Roman" w:hAnsi="Times New Roman" w:cs="Times New Roman"/>
          <w:color w:val="auto"/>
          <w:lang w:val="zh-TW"/>
        </w:rPr>
        <w:t>造成损失的，由</w:t>
      </w:r>
      <w:r>
        <w:rPr>
          <w:rFonts w:hint="default" w:ascii="Times New Roman" w:hAnsi="Times New Roman" w:cs="Times New Roman"/>
          <w:color w:val="auto"/>
          <w:lang w:val="zh-TW" w:eastAsia="zh-CN"/>
        </w:rPr>
        <w:t>成交供应商</w:t>
      </w:r>
      <w:r>
        <w:rPr>
          <w:rFonts w:hint="default" w:ascii="Times New Roman" w:hAnsi="Times New Roman" w:cs="Times New Roman"/>
          <w:color w:val="auto"/>
          <w:lang w:val="zh-TW"/>
        </w:rPr>
        <w:t>承担全部责任。</w:t>
      </w:r>
    </w:p>
    <w:bookmarkEnd w:id="60"/>
    <w:bookmarkEnd w:id="61"/>
    <w:p w14:paraId="6B31A045">
      <w:pPr>
        <w:pStyle w:val="15"/>
        <w:bidi w:val="0"/>
        <w:rPr>
          <w:rFonts w:hint="default" w:ascii="Times New Roman" w:hAnsi="Times New Roman" w:cs="Times New Roman"/>
          <w:color w:val="auto"/>
        </w:rPr>
      </w:pPr>
      <w:bookmarkStart w:id="62" w:name="_Toc28135"/>
      <w:bookmarkStart w:id="63" w:name="_Toc10369"/>
      <w:r>
        <w:rPr>
          <w:rFonts w:hint="default" w:ascii="Times New Roman" w:hAnsi="Times New Roman" w:cs="Times New Roman"/>
          <w:color w:val="auto"/>
        </w:rPr>
        <w:t>二、</w:t>
      </w:r>
      <w:bookmarkEnd w:id="50"/>
      <w:r>
        <w:rPr>
          <w:rFonts w:hint="default" w:ascii="Times New Roman" w:hAnsi="Times New Roman" w:cs="Times New Roman"/>
          <w:color w:val="auto"/>
        </w:rPr>
        <w:t>报价要求</w:t>
      </w:r>
      <w:bookmarkEnd w:id="51"/>
      <w:bookmarkEnd w:id="52"/>
      <w:bookmarkEnd w:id="62"/>
      <w:bookmarkEnd w:id="63"/>
    </w:p>
    <w:p w14:paraId="518B8680">
      <w:pPr>
        <w:pStyle w:val="14"/>
        <w:bidi w:val="0"/>
        <w:rPr>
          <w:rFonts w:hint="default" w:ascii="Times New Roman" w:hAnsi="Times New Roman" w:cs="Times New Roman"/>
          <w:color w:val="auto"/>
        </w:rPr>
      </w:pPr>
      <w:bookmarkStart w:id="64" w:name="_Toc25293"/>
      <w:bookmarkStart w:id="65" w:name="_Toc28495"/>
      <w:bookmarkStart w:id="66" w:name="_Toc11444"/>
      <w:r>
        <w:rPr>
          <w:rFonts w:hint="default" w:ascii="Times New Roman" w:hAnsi="Times New Roman" w:cs="Times New Roman"/>
          <w:color w:val="auto"/>
        </w:rPr>
        <w:t>本次报价须为</w:t>
      </w:r>
      <w:r>
        <w:rPr>
          <w:rFonts w:hint="default" w:ascii="Times New Roman" w:hAnsi="Times New Roman" w:cs="Times New Roman"/>
          <w:color w:val="auto"/>
          <w:highlight w:val="none"/>
        </w:rPr>
        <w:t>人民币报价</w:t>
      </w:r>
      <w:r>
        <w:rPr>
          <w:rFonts w:hint="default" w:ascii="Times New Roman" w:hAnsi="Times New Roman" w:cs="Times New Roman"/>
          <w:color w:val="auto"/>
          <w:lang w:eastAsia="zh-CN"/>
        </w:rPr>
        <w:t>，</w:t>
      </w:r>
      <w:r>
        <w:rPr>
          <w:rFonts w:hint="default" w:ascii="Times New Roman" w:hAnsi="Times New Roman" w:cs="Times New Roman"/>
          <w:color w:val="auto"/>
          <w:lang w:val="zh-TW" w:eastAsia="zh-CN"/>
        </w:rPr>
        <w:t>遴选供应商</w:t>
      </w:r>
      <w:r>
        <w:rPr>
          <w:rFonts w:hint="default" w:ascii="Times New Roman" w:hAnsi="Times New Roman" w:cs="Times New Roman"/>
          <w:color w:val="auto"/>
          <w:lang w:val="zh-TW"/>
        </w:rPr>
        <w:t>应</w:t>
      </w:r>
      <w:r>
        <w:rPr>
          <w:rFonts w:hint="default" w:ascii="Times New Roman" w:hAnsi="Times New Roman" w:cs="Times New Roman"/>
          <w:color w:val="auto"/>
          <w:lang w:val="en-US" w:eastAsia="zh-CN"/>
        </w:rPr>
        <w:t>根据采购文件中</w:t>
      </w:r>
      <w:r>
        <w:rPr>
          <w:rFonts w:hint="default" w:ascii="Times New Roman" w:hAnsi="Times New Roman" w:cs="Times New Roman"/>
          <w:color w:val="auto"/>
          <w:lang w:val="zh-TW"/>
        </w:rPr>
        <w:t>承诺执行统一陪护收费标准，价格调整需报备并取得</w:t>
      </w:r>
      <w:r>
        <w:rPr>
          <w:rFonts w:hint="default" w:ascii="Times New Roman" w:hAnsi="Times New Roman" w:cs="Times New Roman"/>
          <w:color w:val="auto"/>
          <w:lang w:val="en-US" w:eastAsia="zh-CN"/>
        </w:rPr>
        <w:t>采购人</w:t>
      </w:r>
      <w:r>
        <w:rPr>
          <w:rFonts w:hint="default" w:ascii="Times New Roman" w:hAnsi="Times New Roman" w:cs="Times New Roman"/>
          <w:color w:val="auto"/>
          <w:lang w:val="zh-TW"/>
        </w:rPr>
        <w:t>职能管理部门的书面同意</w:t>
      </w:r>
      <w:r>
        <w:rPr>
          <w:rFonts w:hint="default" w:ascii="Times New Roman" w:hAnsi="Times New Roman" w:cs="Times New Roman"/>
          <w:color w:val="auto"/>
          <w:lang w:val="en-US" w:eastAsia="zh-CN"/>
        </w:rPr>
        <w:t>并备案</w:t>
      </w:r>
      <w:r>
        <w:rPr>
          <w:rFonts w:hint="default" w:ascii="Times New Roman" w:hAnsi="Times New Roman" w:cs="Times New Roman"/>
          <w:color w:val="auto"/>
          <w:lang w:val="zh-TW" w:eastAsia="zh-CN"/>
        </w:rPr>
        <w:t>，</w:t>
      </w:r>
      <w:r>
        <w:rPr>
          <w:rFonts w:hint="default" w:ascii="Times New Roman" w:hAnsi="Times New Roman" w:cs="Times New Roman"/>
          <w:color w:val="auto"/>
          <w:lang w:val="zh-TW"/>
        </w:rPr>
        <w:t>且不得高于市场价格。</w:t>
      </w:r>
      <w:r>
        <w:rPr>
          <w:rFonts w:hint="default" w:ascii="Times New Roman" w:hAnsi="Times New Roman" w:cs="Times New Roman"/>
          <w:color w:val="auto"/>
        </w:rPr>
        <w:t>因成交供应商自身原因造成漏报、少报皆由其自行承担责任，采购人不再补偿。</w:t>
      </w:r>
      <w:bookmarkEnd w:id="64"/>
      <w:bookmarkEnd w:id="65"/>
    </w:p>
    <w:p w14:paraId="24FCDB18">
      <w:pPr>
        <w:pStyle w:val="15"/>
        <w:bidi w:val="0"/>
        <w:rPr>
          <w:rFonts w:hint="default" w:ascii="Times New Roman" w:hAnsi="Times New Roman" w:cs="Times New Roman"/>
          <w:color w:val="auto"/>
          <w:lang w:val="en-US" w:eastAsia="zh-CN"/>
        </w:rPr>
      </w:pPr>
      <w:bookmarkStart w:id="67" w:name="_Toc17756"/>
      <w:bookmarkStart w:id="68" w:name="_Toc11215"/>
      <w:r>
        <w:rPr>
          <w:rFonts w:hint="default" w:ascii="Times New Roman" w:hAnsi="Times New Roman" w:cs="Times New Roman"/>
          <w:color w:val="auto"/>
          <w:lang w:val="en-US" w:eastAsia="zh-CN"/>
        </w:rPr>
        <w:t>三、</w:t>
      </w:r>
      <w:bookmarkEnd w:id="66"/>
      <w:bookmarkEnd w:id="67"/>
      <w:bookmarkEnd w:id="68"/>
      <w:bookmarkStart w:id="69" w:name="_Toc29101"/>
      <w:bookmarkStart w:id="70" w:name="_Toc27723"/>
      <w:bookmarkStart w:id="71" w:name="_Toc824"/>
      <w:bookmarkStart w:id="72" w:name="_Toc6851"/>
      <w:r>
        <w:rPr>
          <w:rFonts w:hint="default" w:ascii="Times New Roman" w:hAnsi="Times New Roman" w:cs="Times New Roman"/>
          <w:color w:val="auto"/>
          <w:lang w:val="en-US" w:eastAsia="zh-CN"/>
        </w:rPr>
        <w:t>服务收费</w:t>
      </w:r>
      <w:bookmarkEnd w:id="69"/>
    </w:p>
    <w:p w14:paraId="76AD6A1D">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eastAsia="zh-CN"/>
        </w:rPr>
        <w:t>成交供应商</w:t>
      </w:r>
      <w:r>
        <w:rPr>
          <w:rFonts w:hint="default" w:ascii="Times New Roman" w:hAnsi="Times New Roman" w:cs="Times New Roman"/>
          <w:color w:val="auto"/>
        </w:rPr>
        <w:t>与患者或家属直接签订陪护服务收费合同，收取陪护服务劳务报酬。</w:t>
      </w:r>
    </w:p>
    <w:bookmarkEnd w:id="70"/>
    <w:bookmarkEnd w:id="71"/>
    <w:bookmarkEnd w:id="72"/>
    <w:p w14:paraId="07E33A5D">
      <w:pPr>
        <w:pStyle w:val="15"/>
        <w:bidi w:val="0"/>
        <w:rPr>
          <w:rFonts w:hint="default" w:ascii="Times New Roman" w:hAnsi="Times New Roman" w:cs="Times New Roman"/>
          <w:color w:val="auto"/>
        </w:rPr>
      </w:pPr>
      <w:r>
        <w:rPr>
          <w:rFonts w:hint="default" w:ascii="Times New Roman" w:hAnsi="Times New Roman" w:cs="Times New Roman"/>
          <w:color w:val="auto"/>
          <w:lang w:val="en-US" w:eastAsia="zh-CN"/>
        </w:rPr>
        <w:t>四、</w:t>
      </w:r>
      <w:r>
        <w:rPr>
          <w:rFonts w:hint="default" w:ascii="Times New Roman" w:hAnsi="Times New Roman" w:cs="Times New Roman"/>
          <w:color w:val="auto"/>
        </w:rPr>
        <w:t>知识产权</w:t>
      </w:r>
    </w:p>
    <w:p w14:paraId="24B3B228">
      <w:pPr>
        <w:pStyle w:val="14"/>
        <w:bidi w:val="0"/>
        <w:rPr>
          <w:rFonts w:hint="default" w:ascii="Times New Roman" w:hAnsi="Times New Roman" w:cs="Times New Roman"/>
          <w:color w:val="auto"/>
        </w:rPr>
      </w:pPr>
      <w:bookmarkStart w:id="73" w:name="_Toc5555"/>
      <w:bookmarkStart w:id="74" w:name="_Toc106034638"/>
      <w:bookmarkStart w:id="75" w:name="_Toc65660347"/>
      <w:bookmarkStart w:id="76" w:name="_Toc6565"/>
      <w:bookmarkStart w:id="77" w:name="_Toc23533"/>
      <w:r>
        <w:rPr>
          <w:rFonts w:hint="default" w:ascii="Times New Roman" w:hAnsi="Times New Roman" w:cs="Times New Roman"/>
          <w:color w:val="auto"/>
        </w:rPr>
        <w:t>采购人在中华人民共和国境内使用</w:t>
      </w:r>
      <w:r>
        <w:rPr>
          <w:rFonts w:hint="default" w:ascii="Times New Roman" w:hAnsi="Times New Roman" w:cs="Times New Roman"/>
          <w:color w:val="auto"/>
          <w:lang w:eastAsia="zh-CN"/>
        </w:rPr>
        <w:t>供应商</w:t>
      </w:r>
      <w:r>
        <w:rPr>
          <w:rFonts w:hint="default" w:ascii="Times New Roman" w:hAnsi="Times New Roman" w:cs="Times New Roman"/>
          <w:color w:val="auto"/>
        </w:rPr>
        <w:t>提供的货物及服务时免受第三方提出的侵犯其专利权或其它知识产权的起诉。如果第三方提出侵权指控，</w:t>
      </w:r>
      <w:r>
        <w:rPr>
          <w:rFonts w:hint="default" w:ascii="Times New Roman" w:hAnsi="Times New Roman" w:cs="Times New Roman"/>
          <w:color w:val="auto"/>
          <w:lang w:eastAsia="zh-CN"/>
        </w:rPr>
        <w:t>成交供应商</w:t>
      </w:r>
      <w:r>
        <w:rPr>
          <w:rFonts w:hint="default" w:ascii="Times New Roman" w:hAnsi="Times New Roman" w:cs="Times New Roman"/>
          <w:color w:val="auto"/>
        </w:rPr>
        <w:t>应承担由此而引起的一切法律责任和费用。</w:t>
      </w:r>
    </w:p>
    <w:p w14:paraId="5CD01066">
      <w:pPr>
        <w:pStyle w:val="14"/>
        <w:bidi w:val="0"/>
        <w:rPr>
          <w:rFonts w:hint="default" w:ascii="Times New Roman" w:hAnsi="Times New Roman" w:cs="Times New Roman"/>
          <w:color w:val="auto"/>
        </w:rPr>
      </w:pPr>
      <w:bookmarkStart w:id="78" w:name="_Toc29159"/>
      <w:bookmarkStart w:id="79" w:name="_Toc3282"/>
      <w:bookmarkStart w:id="80" w:name="_Toc11166"/>
      <w:r>
        <w:rPr>
          <w:rFonts w:hint="default" w:ascii="Times New Roman" w:hAnsi="Times New Roman" w:cs="Times New Roman"/>
          <w:color w:val="auto"/>
        </w:rPr>
        <w:t>注：若涉及软件开发等服务类项目知识产权的，知识产权归采购人所有。</w:t>
      </w:r>
      <w:bookmarkEnd w:id="78"/>
      <w:bookmarkEnd w:id="79"/>
      <w:bookmarkEnd w:id="80"/>
    </w:p>
    <w:bookmarkEnd w:id="73"/>
    <w:bookmarkEnd w:id="74"/>
    <w:bookmarkEnd w:id="75"/>
    <w:bookmarkEnd w:id="76"/>
    <w:bookmarkEnd w:id="77"/>
    <w:p w14:paraId="4AA50C34">
      <w:pPr>
        <w:pStyle w:val="15"/>
        <w:bidi w:val="0"/>
        <w:rPr>
          <w:rFonts w:hint="default" w:ascii="Times New Roman" w:hAnsi="Times New Roman" w:eastAsia="方正仿宋_GBK" w:cs="Times New Roman"/>
          <w:color w:val="auto"/>
          <w:kern w:val="2"/>
          <w:sz w:val="24"/>
          <w:szCs w:val="24"/>
          <w:lang w:val="en-US" w:eastAsia="zh-CN" w:bidi="ar-SA"/>
        </w:rPr>
      </w:pPr>
      <w:bookmarkStart w:id="81" w:name="_Toc21323"/>
      <w:bookmarkStart w:id="82" w:name="_Toc104552596"/>
      <w:bookmarkStart w:id="83" w:name="_Toc22333"/>
      <w:bookmarkStart w:id="84" w:name="_Toc11727"/>
      <w:bookmarkStart w:id="85" w:name="_Toc17218"/>
      <w:bookmarkStart w:id="86" w:name="_Toc105753153"/>
      <w:r>
        <w:rPr>
          <w:rFonts w:hint="default" w:ascii="Times New Roman" w:hAnsi="Times New Roman" w:cs="Times New Roman"/>
          <w:color w:val="auto"/>
          <w:lang w:val="en-US" w:eastAsia="zh-CN"/>
        </w:rPr>
        <w:t>五、夜间值班费用说明</w:t>
      </w:r>
    </w:p>
    <w:p w14:paraId="3150C6CF">
      <w:pPr>
        <w:pStyle w:val="15"/>
        <w:bidi w:val="0"/>
        <w:rPr>
          <w:rFonts w:hint="default" w:ascii="Times New Roman" w:hAnsi="Times New Roman" w:eastAsia="方正仿宋_GBK" w:cs="Times New Roman"/>
          <w:color w:val="auto"/>
          <w:kern w:val="2"/>
          <w:sz w:val="24"/>
          <w:szCs w:val="24"/>
          <w:lang w:val="en-US" w:eastAsia="zh-CN" w:bidi="ar-SA"/>
        </w:rPr>
      </w:pPr>
      <w:r>
        <w:rPr>
          <w:rFonts w:hint="default" w:ascii="Times New Roman" w:hAnsi="Times New Roman" w:eastAsia="方正仿宋_GBK" w:cs="Times New Roman"/>
          <w:color w:val="auto"/>
          <w:kern w:val="2"/>
          <w:sz w:val="24"/>
          <w:szCs w:val="24"/>
          <w:lang w:val="en-US" w:eastAsia="zh-CN" w:bidi="ar-SA"/>
        </w:rPr>
        <w:t>夜间应急值守服务（标本及物资急送）为供应商应履行的合同义务，相关费用已包含在供应商的整体运营成本中，采购人不另行支付。供应商应确保夜间值守人员的劳动报酬及社会保险等待遇符合国家法律法规要求。</w:t>
      </w:r>
    </w:p>
    <w:p w14:paraId="7AD9E5E3">
      <w:pPr>
        <w:pStyle w:val="15"/>
        <w:bidi w:val="0"/>
        <w:rPr>
          <w:rFonts w:hint="default" w:ascii="Times New Roman" w:hAnsi="Times New Roman" w:cs="Times New Roman"/>
          <w:color w:val="auto"/>
          <w:lang w:val="en-US" w:eastAsia="zh-CN"/>
        </w:rPr>
      </w:pPr>
      <w:r>
        <w:rPr>
          <w:rFonts w:hint="eastAsia" w:ascii="Times New Roman" w:hAnsi="Times New Roman" w:cs="Times New Roman"/>
          <w:color w:val="auto"/>
          <w:lang w:val="en-US" w:eastAsia="zh-CN"/>
        </w:rPr>
        <w:t>六</w:t>
      </w:r>
      <w:r>
        <w:rPr>
          <w:rFonts w:hint="default" w:ascii="Times New Roman" w:hAnsi="Times New Roman" w:cs="Times New Roman"/>
          <w:color w:val="auto"/>
          <w:lang w:val="en-US" w:eastAsia="zh-CN"/>
        </w:rPr>
        <w:t>、其他</w:t>
      </w:r>
      <w:bookmarkEnd w:id="81"/>
      <w:bookmarkEnd w:id="82"/>
      <w:bookmarkEnd w:id="83"/>
      <w:bookmarkEnd w:id="84"/>
      <w:bookmarkEnd w:id="85"/>
      <w:bookmarkEnd w:id="86"/>
    </w:p>
    <w:p w14:paraId="4D0D5E22">
      <w:pPr>
        <w:pStyle w:val="14"/>
        <w:bidi w:val="0"/>
        <w:rPr>
          <w:rFonts w:hint="default" w:ascii="Times New Roman" w:hAnsi="Times New Roman" w:cs="Times New Roman"/>
          <w:color w:val="auto"/>
        </w:rPr>
      </w:pPr>
      <w:r>
        <w:rPr>
          <w:rFonts w:hint="default" w:ascii="Times New Roman" w:hAnsi="Times New Roman" w:cs="Times New Roman"/>
          <w:color w:val="auto"/>
        </w:rPr>
        <w:t>（一）供应商必须在响应文件中对以上条款和服务承诺明确列出，承诺内容必须达到本篇及采购其他条款的要求。</w:t>
      </w:r>
    </w:p>
    <w:p w14:paraId="29B70445">
      <w:pPr>
        <w:pStyle w:val="14"/>
        <w:bidi w:val="0"/>
        <w:rPr>
          <w:rFonts w:hint="default" w:ascii="Times New Roman" w:hAnsi="Times New Roman" w:eastAsia="仿宋" w:cs="Times New Roman"/>
          <w:b w:val="0"/>
          <w:bCs w:val="0"/>
          <w:color w:val="auto"/>
          <w:sz w:val="24"/>
          <w:szCs w:val="24"/>
        </w:rPr>
      </w:pPr>
      <w:r>
        <w:rPr>
          <w:rFonts w:hint="default" w:ascii="Times New Roman" w:hAnsi="Times New Roman" w:cs="Times New Roman"/>
          <w:color w:val="auto"/>
        </w:rPr>
        <w:t>（二）其他未尽事宜由供需双方在采购合同中详细约定。</w:t>
      </w:r>
    </w:p>
    <w:p w14:paraId="76A1B4AD">
      <w:pPr>
        <w:jc w:val="center"/>
        <w:rPr>
          <w:rFonts w:hint="default" w:ascii="Times New Roman" w:hAnsi="Times New Roman" w:eastAsia="仿宋" w:cs="Times New Roman"/>
          <w:b w:val="0"/>
          <w:bCs w:val="0"/>
          <w:color w:val="auto"/>
          <w:sz w:val="24"/>
          <w:szCs w:val="24"/>
        </w:rPr>
      </w:pPr>
      <w:bookmarkStart w:id="87" w:name="_Toc3115"/>
      <w:bookmarkStart w:id="88" w:name="_Toc487204778"/>
      <w:bookmarkStart w:id="89" w:name="_Toc6453"/>
    </w:p>
    <w:bookmarkEnd w:id="87"/>
    <w:bookmarkEnd w:id="88"/>
    <w:bookmarkEnd w:id="89"/>
    <w:p w14:paraId="33C96F4F">
      <w:pPr>
        <w:pStyle w:val="16"/>
        <w:bidi w:val="0"/>
        <w:rPr>
          <w:rFonts w:hint="default" w:ascii="Times New Roman" w:hAnsi="Times New Roman" w:cs="Times New Roman"/>
          <w:color w:val="auto"/>
        </w:rPr>
      </w:pPr>
      <w:bookmarkStart w:id="90" w:name="_Toc25291"/>
      <w:bookmarkStart w:id="91" w:name="_Toc487204782"/>
      <w:bookmarkStart w:id="92" w:name="_Toc102227319"/>
      <w:bookmarkStart w:id="93" w:name="_Toc342913393"/>
      <w:bookmarkStart w:id="94" w:name="_Toc179714298"/>
      <w:bookmarkStart w:id="95" w:name="_Toc426965633"/>
      <w:bookmarkStart w:id="96" w:name="_Toc31741"/>
      <w:bookmarkStart w:id="97" w:name="_Toc31795"/>
      <w:r>
        <w:rPr>
          <w:rFonts w:hint="default" w:ascii="Times New Roman" w:hAnsi="Times New Roman" w:cs="Times New Roman"/>
          <w:color w:val="auto"/>
        </w:rPr>
        <w:t>第四篇 开标程序及方法、评审标准、无效响应和采购终止</w:t>
      </w:r>
      <w:bookmarkEnd w:id="90"/>
    </w:p>
    <w:p w14:paraId="655D5473">
      <w:pPr>
        <w:pStyle w:val="15"/>
        <w:bidi w:val="0"/>
        <w:rPr>
          <w:rFonts w:hint="default" w:ascii="Times New Roman" w:hAnsi="Times New Roman" w:cs="Times New Roman"/>
          <w:color w:val="auto"/>
        </w:rPr>
      </w:pPr>
      <w:bookmarkStart w:id="98" w:name="_Toc20908"/>
      <w:bookmarkStart w:id="99" w:name="_Toc24853"/>
      <w:bookmarkStart w:id="100" w:name="_Toc32183"/>
      <w:r>
        <w:rPr>
          <w:rFonts w:hint="default" w:ascii="Times New Roman" w:hAnsi="Times New Roman" w:cs="Times New Roman"/>
          <w:color w:val="auto"/>
        </w:rPr>
        <w:t>一、</w:t>
      </w:r>
      <w:bookmarkEnd w:id="91"/>
      <w:bookmarkEnd w:id="92"/>
      <w:bookmarkEnd w:id="93"/>
      <w:bookmarkEnd w:id="94"/>
      <w:bookmarkEnd w:id="95"/>
      <w:r>
        <w:rPr>
          <w:rFonts w:hint="default" w:ascii="Times New Roman" w:hAnsi="Times New Roman" w:cs="Times New Roman"/>
          <w:color w:val="auto"/>
          <w:lang w:eastAsia="zh-CN"/>
        </w:rPr>
        <w:t>磋商</w:t>
      </w:r>
      <w:r>
        <w:rPr>
          <w:rFonts w:hint="default" w:ascii="Times New Roman" w:hAnsi="Times New Roman" w:cs="Times New Roman"/>
          <w:color w:val="auto"/>
        </w:rPr>
        <w:t>程序及成交标准</w:t>
      </w:r>
      <w:bookmarkEnd w:id="96"/>
      <w:bookmarkEnd w:id="97"/>
      <w:bookmarkEnd w:id="98"/>
      <w:bookmarkEnd w:id="99"/>
      <w:bookmarkEnd w:id="100"/>
    </w:p>
    <w:p w14:paraId="593F3048">
      <w:pPr>
        <w:pStyle w:val="14"/>
        <w:bidi w:val="0"/>
        <w:rPr>
          <w:rFonts w:hint="default" w:ascii="Times New Roman" w:hAnsi="Times New Roman" w:cs="Times New Roman"/>
          <w:color w:val="auto"/>
        </w:rPr>
      </w:pPr>
      <w:r>
        <w:rPr>
          <w:rFonts w:hint="default" w:ascii="Times New Roman" w:hAnsi="Times New Roman" w:cs="Times New Roman"/>
          <w:color w:val="auto"/>
        </w:rPr>
        <w:t>（一）本项目</w:t>
      </w:r>
      <w:r>
        <w:rPr>
          <w:rFonts w:hint="default" w:ascii="Times New Roman" w:hAnsi="Times New Roman" w:cs="Times New Roman"/>
          <w:color w:val="auto"/>
          <w:lang w:eastAsia="zh-CN"/>
        </w:rPr>
        <w:t>遴选</w:t>
      </w:r>
      <w:r>
        <w:rPr>
          <w:rFonts w:hint="default" w:ascii="Times New Roman" w:hAnsi="Times New Roman" w:cs="Times New Roman"/>
          <w:color w:val="auto"/>
        </w:rPr>
        <w:t>按照</w:t>
      </w:r>
      <w:r>
        <w:rPr>
          <w:rFonts w:hint="default" w:ascii="Times New Roman" w:hAnsi="Times New Roman" w:cs="Times New Roman"/>
          <w:color w:val="auto"/>
          <w:lang w:eastAsia="zh-CN"/>
        </w:rPr>
        <w:t>采购</w:t>
      </w:r>
      <w:r>
        <w:rPr>
          <w:rFonts w:hint="default" w:ascii="Times New Roman" w:hAnsi="Times New Roman" w:cs="Times New Roman"/>
          <w:color w:val="auto"/>
        </w:rPr>
        <w:t>文件的规定进行。</w:t>
      </w:r>
    </w:p>
    <w:p w14:paraId="0F83B08A">
      <w:pPr>
        <w:pStyle w:val="14"/>
        <w:bidi w:val="0"/>
        <w:rPr>
          <w:rFonts w:hint="default" w:ascii="Times New Roman" w:hAnsi="Times New Roman" w:cs="Times New Roman"/>
          <w:color w:val="auto"/>
        </w:rPr>
      </w:pPr>
      <w:r>
        <w:rPr>
          <w:rFonts w:hint="default" w:ascii="Times New Roman" w:hAnsi="Times New Roman" w:cs="Times New Roman"/>
          <w:color w:val="auto"/>
        </w:rPr>
        <w:t>（二）资格性符合性检查</w:t>
      </w:r>
    </w:p>
    <w:p w14:paraId="2D5A7048">
      <w:pPr>
        <w:pStyle w:val="14"/>
        <w:bidi w:val="0"/>
        <w:rPr>
          <w:rFonts w:hint="default" w:ascii="Times New Roman" w:hAnsi="Times New Roman" w:cs="Times New Roman"/>
          <w:color w:val="auto"/>
        </w:rPr>
      </w:pPr>
      <w:r>
        <w:rPr>
          <w:rFonts w:hint="default" w:ascii="Times New Roman" w:hAnsi="Times New Roman" w:cs="Times New Roman"/>
          <w:color w:val="auto"/>
        </w:rPr>
        <w:t>1.资格性检查。依据法律法规和采</w:t>
      </w:r>
      <w:r>
        <w:rPr>
          <w:rFonts w:hint="eastAsia" w:ascii="Times New Roman" w:hAnsi="Times New Roman" w:cs="Times New Roman"/>
          <w:color w:val="auto"/>
          <w:lang w:eastAsia="zh-CN"/>
        </w:rPr>
        <w:t>购</w:t>
      </w:r>
      <w:r>
        <w:rPr>
          <w:rFonts w:hint="default" w:ascii="Times New Roman" w:hAnsi="Times New Roman" w:cs="Times New Roman"/>
          <w:color w:val="auto"/>
        </w:rPr>
        <w:t>文件的规定，对响应文件中的资格证明等进行审查，以确定供应商是否具备采</w:t>
      </w:r>
      <w:r>
        <w:rPr>
          <w:rFonts w:hint="eastAsia" w:ascii="Times New Roman" w:hAnsi="Times New Roman" w:cs="Times New Roman"/>
          <w:color w:val="auto"/>
          <w:lang w:eastAsia="zh-CN"/>
        </w:rPr>
        <w:t>购</w:t>
      </w:r>
      <w:r>
        <w:rPr>
          <w:rFonts w:hint="default" w:ascii="Times New Roman" w:hAnsi="Times New Roman" w:cs="Times New Roman"/>
          <w:color w:val="auto"/>
        </w:rPr>
        <w:t>资格。资格性检查资料表如下：</w:t>
      </w:r>
    </w:p>
    <w:tbl>
      <w:tblPr>
        <w:tblStyle w:val="10"/>
        <w:tblW w:w="94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931"/>
        <w:gridCol w:w="3928"/>
        <w:gridCol w:w="3827"/>
      </w:tblGrid>
      <w:tr w14:paraId="2EF45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746" w:type="dxa"/>
            <w:vAlign w:val="center"/>
          </w:tcPr>
          <w:p w14:paraId="441F9AA4">
            <w:pPr>
              <w:adjustRightInd w:val="0"/>
              <w:snapToGrid w:val="0"/>
              <w:spacing w:line="260" w:lineRule="exact"/>
              <w:jc w:val="center"/>
              <w:rPr>
                <w:rFonts w:hint="default" w:ascii="Times New Roman" w:hAnsi="Times New Roman" w:eastAsia="方正黑体_GBK" w:cs="Times New Roman"/>
                <w:b w:val="0"/>
                <w:bCs w:val="0"/>
                <w:color w:val="auto"/>
                <w:kern w:val="0"/>
                <w:sz w:val="21"/>
                <w:szCs w:val="21"/>
              </w:rPr>
            </w:pPr>
            <w:r>
              <w:rPr>
                <w:rFonts w:hint="default" w:ascii="Times New Roman" w:hAnsi="Times New Roman" w:eastAsia="方正黑体_GBK" w:cs="Times New Roman"/>
                <w:b w:val="0"/>
                <w:bCs w:val="0"/>
                <w:color w:val="auto"/>
                <w:kern w:val="0"/>
                <w:sz w:val="21"/>
                <w:szCs w:val="21"/>
              </w:rPr>
              <w:t>序号</w:t>
            </w:r>
          </w:p>
        </w:tc>
        <w:tc>
          <w:tcPr>
            <w:tcW w:w="4859" w:type="dxa"/>
            <w:gridSpan w:val="2"/>
            <w:vAlign w:val="center"/>
          </w:tcPr>
          <w:p w14:paraId="282C052B">
            <w:pPr>
              <w:adjustRightInd w:val="0"/>
              <w:snapToGrid w:val="0"/>
              <w:spacing w:line="260" w:lineRule="exact"/>
              <w:jc w:val="center"/>
              <w:rPr>
                <w:rFonts w:hint="default" w:ascii="Times New Roman" w:hAnsi="Times New Roman" w:eastAsia="方正黑体_GBK" w:cs="Times New Roman"/>
                <w:b w:val="0"/>
                <w:bCs w:val="0"/>
                <w:color w:val="auto"/>
                <w:kern w:val="0"/>
                <w:sz w:val="21"/>
                <w:szCs w:val="21"/>
              </w:rPr>
            </w:pPr>
            <w:r>
              <w:rPr>
                <w:rFonts w:hint="default" w:ascii="Times New Roman" w:hAnsi="Times New Roman" w:eastAsia="方正黑体_GBK" w:cs="Times New Roman"/>
                <w:b w:val="0"/>
                <w:bCs w:val="0"/>
                <w:color w:val="auto"/>
                <w:kern w:val="0"/>
                <w:sz w:val="21"/>
                <w:szCs w:val="21"/>
              </w:rPr>
              <w:t>检查因素</w:t>
            </w:r>
          </w:p>
        </w:tc>
        <w:tc>
          <w:tcPr>
            <w:tcW w:w="3827" w:type="dxa"/>
            <w:vAlign w:val="center"/>
          </w:tcPr>
          <w:p w14:paraId="0F9E3C48">
            <w:pPr>
              <w:adjustRightInd w:val="0"/>
              <w:snapToGrid w:val="0"/>
              <w:spacing w:line="260" w:lineRule="exact"/>
              <w:jc w:val="center"/>
              <w:rPr>
                <w:rFonts w:hint="default" w:ascii="Times New Roman" w:hAnsi="Times New Roman" w:eastAsia="方正黑体_GBK" w:cs="Times New Roman"/>
                <w:b w:val="0"/>
                <w:bCs w:val="0"/>
                <w:color w:val="auto"/>
                <w:kern w:val="0"/>
                <w:sz w:val="21"/>
                <w:szCs w:val="21"/>
              </w:rPr>
            </w:pPr>
            <w:r>
              <w:rPr>
                <w:rFonts w:hint="default" w:ascii="Times New Roman" w:hAnsi="Times New Roman" w:eastAsia="方正黑体_GBK" w:cs="Times New Roman"/>
                <w:b w:val="0"/>
                <w:bCs w:val="0"/>
                <w:color w:val="auto"/>
                <w:kern w:val="0"/>
                <w:sz w:val="21"/>
                <w:szCs w:val="21"/>
              </w:rPr>
              <w:t>检查内容</w:t>
            </w:r>
          </w:p>
        </w:tc>
      </w:tr>
      <w:tr w14:paraId="7088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jc w:val="center"/>
        </w:trPr>
        <w:tc>
          <w:tcPr>
            <w:tcW w:w="746" w:type="dxa"/>
            <w:vMerge w:val="restart"/>
            <w:vAlign w:val="center"/>
          </w:tcPr>
          <w:p w14:paraId="52ED4B24">
            <w:pPr>
              <w:adjustRightInd w:val="0"/>
              <w:snapToGrid w:val="0"/>
              <w:spacing w:line="240" w:lineRule="auto"/>
              <w:jc w:val="center"/>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1</w:t>
            </w:r>
          </w:p>
        </w:tc>
        <w:tc>
          <w:tcPr>
            <w:tcW w:w="931" w:type="dxa"/>
            <w:vMerge w:val="restart"/>
            <w:vAlign w:val="center"/>
          </w:tcPr>
          <w:p w14:paraId="2DF3B817">
            <w:pPr>
              <w:adjustRightInd w:val="0"/>
              <w:snapToGrid w:val="0"/>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《中华人民共和国政府采购法》第二十二条规定</w:t>
            </w:r>
          </w:p>
        </w:tc>
        <w:tc>
          <w:tcPr>
            <w:tcW w:w="3928" w:type="dxa"/>
            <w:vAlign w:val="center"/>
          </w:tcPr>
          <w:p w14:paraId="6AA2A721">
            <w:pPr>
              <w:adjustRightInd w:val="0"/>
              <w:snapToGrid w:val="0"/>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（1）具有独立承担民事责任的能力</w:t>
            </w:r>
          </w:p>
        </w:tc>
        <w:tc>
          <w:tcPr>
            <w:tcW w:w="3827" w:type="dxa"/>
            <w:vAlign w:val="center"/>
          </w:tcPr>
          <w:p w14:paraId="3DEB3BA4">
            <w:pPr>
              <w:adjustRightInd w:val="0"/>
              <w:snapToGrid w:val="0"/>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1.供应商法人营业执照（副本）或事业单位法人证书（副本）或个体工商户营业执照或有效的自然人身份证明或社会团体法人登记证书（提供复印件）。</w:t>
            </w:r>
          </w:p>
          <w:p w14:paraId="46A34D07">
            <w:pPr>
              <w:adjustRightInd w:val="0"/>
              <w:snapToGrid w:val="0"/>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2.供应商法定代表人身份证明和法定代表人授权代表委托书。</w:t>
            </w:r>
          </w:p>
        </w:tc>
      </w:tr>
      <w:tr w14:paraId="14079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746" w:type="dxa"/>
            <w:vMerge w:val="continue"/>
            <w:vAlign w:val="center"/>
          </w:tcPr>
          <w:p w14:paraId="6698D52B">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rPr>
            </w:pPr>
          </w:p>
        </w:tc>
        <w:tc>
          <w:tcPr>
            <w:tcW w:w="931" w:type="dxa"/>
            <w:vMerge w:val="continue"/>
            <w:vAlign w:val="center"/>
          </w:tcPr>
          <w:p w14:paraId="14FA2A57">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rPr>
            </w:pPr>
          </w:p>
        </w:tc>
        <w:tc>
          <w:tcPr>
            <w:tcW w:w="3928" w:type="dxa"/>
            <w:vAlign w:val="center"/>
          </w:tcPr>
          <w:p w14:paraId="34EAA730">
            <w:pPr>
              <w:adjustRightInd w:val="0"/>
              <w:snapToGrid w:val="0"/>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lang w:val="zh-CN"/>
              </w:rPr>
              <w:t>（2）</w:t>
            </w:r>
            <w:r>
              <w:rPr>
                <w:rFonts w:hint="default" w:ascii="Times New Roman" w:hAnsi="Times New Roman" w:eastAsia="方正仿宋_GBK" w:cs="Times New Roman"/>
                <w:b w:val="0"/>
                <w:bCs w:val="0"/>
                <w:color w:val="auto"/>
                <w:sz w:val="21"/>
                <w:szCs w:val="21"/>
              </w:rPr>
              <w:t>具有良好的商业信誉和健全的财务会计制度</w:t>
            </w:r>
          </w:p>
        </w:tc>
        <w:tc>
          <w:tcPr>
            <w:tcW w:w="3827" w:type="dxa"/>
            <w:vMerge w:val="restart"/>
            <w:vAlign w:val="center"/>
          </w:tcPr>
          <w:p w14:paraId="5D4A5935">
            <w:pPr>
              <w:adjustRightInd w:val="0"/>
              <w:snapToGrid w:val="0"/>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1.供应商提供</w:t>
            </w:r>
            <w:r>
              <w:rPr>
                <w:rFonts w:hint="eastAsia" w:eastAsia="方正仿宋_GBK" w:cs="Times New Roman"/>
                <w:b w:val="0"/>
                <w:bCs w:val="0"/>
                <w:color w:val="auto"/>
                <w:sz w:val="21"/>
                <w:szCs w:val="21"/>
                <w:lang w:eastAsia="zh-CN"/>
              </w:rPr>
              <w:t>“</w:t>
            </w:r>
            <w:r>
              <w:rPr>
                <w:rFonts w:hint="default" w:ascii="Times New Roman" w:hAnsi="Times New Roman" w:eastAsia="方正仿宋_GBK" w:cs="Times New Roman"/>
                <w:b w:val="0"/>
                <w:bCs w:val="0"/>
                <w:color w:val="auto"/>
                <w:sz w:val="21"/>
                <w:szCs w:val="21"/>
              </w:rPr>
              <w:t>基本资格条件承诺函</w:t>
            </w:r>
            <w:r>
              <w:rPr>
                <w:rFonts w:hint="eastAsia" w:eastAsia="方正仿宋_GBK" w:cs="Times New Roman"/>
                <w:b w:val="0"/>
                <w:bCs w:val="0"/>
                <w:color w:val="auto"/>
                <w:sz w:val="21"/>
                <w:szCs w:val="21"/>
                <w:lang w:eastAsia="zh-CN"/>
              </w:rPr>
              <w:t>”</w:t>
            </w:r>
            <w:r>
              <w:rPr>
                <w:rFonts w:hint="default" w:ascii="Times New Roman" w:hAnsi="Times New Roman" w:eastAsia="方正仿宋_GBK" w:cs="Times New Roman"/>
                <w:b w:val="0"/>
                <w:bCs w:val="0"/>
                <w:color w:val="auto"/>
                <w:sz w:val="21"/>
                <w:szCs w:val="21"/>
              </w:rPr>
              <w:t>（格式详见第</w:t>
            </w:r>
            <w:r>
              <w:rPr>
                <w:rFonts w:hint="default" w:ascii="Times New Roman" w:hAnsi="Times New Roman" w:eastAsia="方正仿宋_GBK" w:cs="Times New Roman"/>
                <w:b w:val="0"/>
                <w:bCs w:val="0"/>
                <w:color w:val="auto"/>
                <w:sz w:val="21"/>
                <w:szCs w:val="21"/>
                <w:lang w:val="en-US" w:eastAsia="zh-CN"/>
              </w:rPr>
              <w:t>六</w:t>
            </w:r>
            <w:r>
              <w:rPr>
                <w:rFonts w:hint="default" w:ascii="Times New Roman" w:hAnsi="Times New Roman" w:eastAsia="方正仿宋_GBK" w:cs="Times New Roman"/>
                <w:b w:val="0"/>
                <w:bCs w:val="0"/>
                <w:color w:val="auto"/>
                <w:sz w:val="21"/>
                <w:szCs w:val="21"/>
              </w:rPr>
              <w:t>篇）</w:t>
            </w:r>
          </w:p>
          <w:p w14:paraId="264CE3CC">
            <w:pPr>
              <w:adjustRightInd w:val="0"/>
              <w:snapToGrid w:val="0"/>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2.供应商应对其承诺内容的真实性、合法性、有效性负责。经调查核实为虚假承诺的，视同为</w:t>
            </w:r>
            <w:r>
              <w:rPr>
                <w:rFonts w:hint="eastAsia" w:eastAsia="方正仿宋_GBK" w:cs="Times New Roman"/>
                <w:b w:val="0"/>
                <w:bCs w:val="0"/>
                <w:color w:val="auto"/>
                <w:sz w:val="21"/>
                <w:szCs w:val="21"/>
                <w:lang w:eastAsia="zh-CN"/>
              </w:rPr>
              <w:t>“</w:t>
            </w:r>
            <w:r>
              <w:rPr>
                <w:rFonts w:hint="default" w:ascii="Times New Roman" w:hAnsi="Times New Roman" w:eastAsia="方正仿宋_GBK" w:cs="Times New Roman"/>
                <w:b w:val="0"/>
                <w:bCs w:val="0"/>
                <w:color w:val="auto"/>
                <w:sz w:val="21"/>
                <w:szCs w:val="21"/>
              </w:rPr>
              <w:t>提供虚假材料谋取中标、成交</w:t>
            </w:r>
            <w:r>
              <w:rPr>
                <w:rFonts w:hint="eastAsia" w:eastAsia="方正仿宋_GBK" w:cs="Times New Roman"/>
                <w:b w:val="0"/>
                <w:bCs w:val="0"/>
                <w:color w:val="auto"/>
                <w:sz w:val="21"/>
                <w:szCs w:val="21"/>
                <w:lang w:eastAsia="zh-CN"/>
              </w:rPr>
              <w:t>”</w:t>
            </w:r>
            <w:r>
              <w:rPr>
                <w:rFonts w:hint="default" w:ascii="Times New Roman" w:hAnsi="Times New Roman" w:eastAsia="方正仿宋_GBK" w:cs="Times New Roman"/>
                <w:b w:val="0"/>
                <w:bCs w:val="0"/>
                <w:color w:val="auto"/>
                <w:sz w:val="21"/>
                <w:szCs w:val="21"/>
              </w:rPr>
              <w:t>的违法行为，依照《中华人民共和国政府采购法》等法律法规追究相应责任。</w:t>
            </w:r>
          </w:p>
        </w:tc>
      </w:tr>
      <w:tr w14:paraId="4B00D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6" w:type="dxa"/>
            <w:vMerge w:val="continue"/>
            <w:vAlign w:val="center"/>
          </w:tcPr>
          <w:p w14:paraId="1FEBC02D">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rPr>
            </w:pPr>
          </w:p>
        </w:tc>
        <w:tc>
          <w:tcPr>
            <w:tcW w:w="931" w:type="dxa"/>
            <w:vMerge w:val="continue"/>
            <w:vAlign w:val="center"/>
          </w:tcPr>
          <w:p w14:paraId="2B3F7C2E">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rPr>
            </w:pPr>
          </w:p>
        </w:tc>
        <w:tc>
          <w:tcPr>
            <w:tcW w:w="3928" w:type="dxa"/>
            <w:vAlign w:val="center"/>
          </w:tcPr>
          <w:p w14:paraId="3C3A97C8">
            <w:pPr>
              <w:adjustRightInd w:val="0"/>
              <w:snapToGrid w:val="0"/>
              <w:spacing w:line="240" w:lineRule="auto"/>
              <w:rPr>
                <w:rFonts w:hint="default" w:ascii="Times New Roman" w:hAnsi="Times New Roman" w:eastAsia="方正仿宋_GBK" w:cs="Times New Roman"/>
                <w:b w:val="0"/>
                <w:bCs w:val="0"/>
                <w:color w:val="auto"/>
                <w:sz w:val="21"/>
                <w:szCs w:val="21"/>
                <w:lang w:val="zh-CN"/>
              </w:rPr>
            </w:pPr>
            <w:r>
              <w:rPr>
                <w:rFonts w:hint="default" w:ascii="Times New Roman" w:hAnsi="Times New Roman" w:eastAsia="方正仿宋_GBK" w:cs="Times New Roman"/>
                <w:b w:val="0"/>
                <w:bCs w:val="0"/>
                <w:color w:val="auto"/>
                <w:sz w:val="21"/>
                <w:szCs w:val="21"/>
                <w:lang w:val="zh-CN"/>
              </w:rPr>
              <w:t>（3）具有履行合同所必需的设备和专业技术能力</w:t>
            </w:r>
          </w:p>
        </w:tc>
        <w:tc>
          <w:tcPr>
            <w:tcW w:w="3827" w:type="dxa"/>
            <w:vMerge w:val="continue"/>
            <w:vAlign w:val="center"/>
          </w:tcPr>
          <w:p w14:paraId="4E67271A">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rPr>
            </w:pPr>
          </w:p>
        </w:tc>
      </w:tr>
      <w:tr w14:paraId="2A72B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746" w:type="dxa"/>
            <w:vMerge w:val="continue"/>
            <w:vAlign w:val="center"/>
          </w:tcPr>
          <w:p w14:paraId="0701E83C">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rPr>
            </w:pPr>
          </w:p>
        </w:tc>
        <w:tc>
          <w:tcPr>
            <w:tcW w:w="931" w:type="dxa"/>
            <w:vMerge w:val="continue"/>
            <w:vAlign w:val="center"/>
          </w:tcPr>
          <w:p w14:paraId="70396E19">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lang w:val="zh-CN"/>
              </w:rPr>
            </w:pPr>
          </w:p>
        </w:tc>
        <w:tc>
          <w:tcPr>
            <w:tcW w:w="3928" w:type="dxa"/>
            <w:vAlign w:val="center"/>
          </w:tcPr>
          <w:p w14:paraId="35E94C61">
            <w:pPr>
              <w:adjustRightInd w:val="0"/>
              <w:snapToGrid w:val="0"/>
              <w:spacing w:line="240" w:lineRule="auto"/>
              <w:rPr>
                <w:rFonts w:hint="default" w:ascii="Times New Roman" w:hAnsi="Times New Roman" w:eastAsia="方正仿宋_GBK" w:cs="Times New Roman"/>
                <w:b w:val="0"/>
                <w:bCs w:val="0"/>
                <w:color w:val="auto"/>
                <w:sz w:val="21"/>
                <w:szCs w:val="21"/>
                <w:lang w:val="zh-CN"/>
              </w:rPr>
            </w:pPr>
            <w:r>
              <w:rPr>
                <w:rFonts w:hint="default" w:ascii="Times New Roman" w:hAnsi="Times New Roman" w:eastAsia="方正仿宋_GBK" w:cs="Times New Roman"/>
                <w:b w:val="0"/>
                <w:bCs w:val="0"/>
                <w:color w:val="auto"/>
                <w:sz w:val="21"/>
                <w:szCs w:val="21"/>
                <w:lang w:val="zh-CN"/>
              </w:rPr>
              <w:t>（4）有依法缴纳税收和社会保障金的良好记录</w:t>
            </w:r>
          </w:p>
        </w:tc>
        <w:tc>
          <w:tcPr>
            <w:tcW w:w="3827" w:type="dxa"/>
            <w:vMerge w:val="continue"/>
            <w:vAlign w:val="center"/>
          </w:tcPr>
          <w:p w14:paraId="129B8956">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rPr>
            </w:pPr>
          </w:p>
        </w:tc>
      </w:tr>
      <w:tr w14:paraId="7C9F6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746" w:type="dxa"/>
            <w:vMerge w:val="continue"/>
            <w:vAlign w:val="center"/>
          </w:tcPr>
          <w:p w14:paraId="648DF7E5">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rPr>
            </w:pPr>
          </w:p>
        </w:tc>
        <w:tc>
          <w:tcPr>
            <w:tcW w:w="931" w:type="dxa"/>
            <w:vMerge w:val="continue"/>
            <w:vAlign w:val="center"/>
          </w:tcPr>
          <w:p w14:paraId="407D7FC3">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lang w:val="zh-CN"/>
              </w:rPr>
            </w:pPr>
          </w:p>
        </w:tc>
        <w:tc>
          <w:tcPr>
            <w:tcW w:w="3928" w:type="dxa"/>
            <w:vAlign w:val="center"/>
          </w:tcPr>
          <w:p w14:paraId="16F4081F">
            <w:pPr>
              <w:adjustRightInd w:val="0"/>
              <w:snapToGrid w:val="0"/>
              <w:spacing w:line="240" w:lineRule="auto"/>
              <w:rPr>
                <w:rFonts w:hint="default" w:ascii="Times New Roman" w:hAnsi="Times New Roman" w:eastAsia="方正仿宋_GBK" w:cs="Times New Roman"/>
                <w:b w:val="0"/>
                <w:bCs w:val="0"/>
                <w:color w:val="auto"/>
                <w:sz w:val="21"/>
                <w:szCs w:val="21"/>
                <w:lang w:val="zh-CN"/>
              </w:rPr>
            </w:pPr>
            <w:r>
              <w:rPr>
                <w:rFonts w:hint="default" w:ascii="Times New Roman" w:hAnsi="Times New Roman" w:eastAsia="方正仿宋_GBK" w:cs="Times New Roman"/>
                <w:b w:val="0"/>
                <w:bCs w:val="0"/>
                <w:color w:val="auto"/>
                <w:sz w:val="21"/>
                <w:szCs w:val="21"/>
              </w:rPr>
              <w:t>（5）参加政府采购活动前三年内，在经营活动中没有重大违法记录（注</w:t>
            </w:r>
            <w:r>
              <w:rPr>
                <w:rFonts w:hint="default" w:ascii="Times New Roman" w:hAnsi="Times New Roman" w:eastAsia="方正仿宋_GBK" w:cs="Times New Roman"/>
                <w:b w:val="0"/>
                <w:bCs w:val="0"/>
                <w:color w:val="auto"/>
                <w:sz w:val="21"/>
                <w:szCs w:val="21"/>
              </w:rPr>
              <w:sym w:font="Wingdings" w:char="F082"/>
            </w:r>
            <w:r>
              <w:rPr>
                <w:rFonts w:hint="default" w:ascii="Times New Roman" w:hAnsi="Times New Roman" w:eastAsia="方正仿宋_GBK" w:cs="Times New Roman"/>
                <w:b w:val="0"/>
                <w:bCs w:val="0"/>
                <w:color w:val="auto"/>
                <w:sz w:val="21"/>
                <w:szCs w:val="21"/>
              </w:rPr>
              <w:t>）</w:t>
            </w:r>
          </w:p>
        </w:tc>
        <w:tc>
          <w:tcPr>
            <w:tcW w:w="3827" w:type="dxa"/>
            <w:vMerge w:val="continue"/>
            <w:vAlign w:val="center"/>
          </w:tcPr>
          <w:p w14:paraId="5CA81FF3">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rPr>
            </w:pPr>
          </w:p>
        </w:tc>
      </w:tr>
      <w:tr w14:paraId="68B64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46" w:type="dxa"/>
            <w:vMerge w:val="continue"/>
            <w:vAlign w:val="center"/>
          </w:tcPr>
          <w:p w14:paraId="241CF716">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rPr>
            </w:pPr>
          </w:p>
        </w:tc>
        <w:tc>
          <w:tcPr>
            <w:tcW w:w="931" w:type="dxa"/>
            <w:vMerge w:val="continue"/>
            <w:vAlign w:val="center"/>
          </w:tcPr>
          <w:p w14:paraId="397A5EA3">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lang w:val="zh-CN"/>
              </w:rPr>
            </w:pPr>
          </w:p>
        </w:tc>
        <w:tc>
          <w:tcPr>
            <w:tcW w:w="3928" w:type="dxa"/>
            <w:vAlign w:val="center"/>
          </w:tcPr>
          <w:p w14:paraId="12515ACE">
            <w:pPr>
              <w:adjustRightInd w:val="0"/>
              <w:snapToGrid w:val="0"/>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（6）法律、行政法规规定的其他条件</w:t>
            </w:r>
          </w:p>
        </w:tc>
        <w:tc>
          <w:tcPr>
            <w:tcW w:w="3827" w:type="dxa"/>
            <w:vAlign w:val="center"/>
          </w:tcPr>
          <w:p w14:paraId="462DF02A">
            <w:pPr>
              <w:adjustRightInd w:val="0"/>
              <w:snapToGrid w:val="0"/>
              <w:spacing w:line="240" w:lineRule="auto"/>
              <w:ind w:firstLine="420" w:firstLineChars="200"/>
              <w:rPr>
                <w:rFonts w:hint="default" w:ascii="Times New Roman" w:hAnsi="Times New Roman" w:eastAsia="方正仿宋_GBK" w:cs="Times New Roman"/>
                <w:b w:val="0"/>
                <w:bCs w:val="0"/>
                <w:color w:val="auto"/>
                <w:sz w:val="21"/>
                <w:szCs w:val="21"/>
              </w:rPr>
            </w:pPr>
          </w:p>
        </w:tc>
      </w:tr>
      <w:tr w14:paraId="5D236F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46" w:type="dxa"/>
            <w:vAlign w:val="center"/>
          </w:tcPr>
          <w:p w14:paraId="7E6AFBDE">
            <w:pPr>
              <w:adjustRightInd w:val="0"/>
              <w:snapToGrid w:val="0"/>
              <w:spacing w:line="240" w:lineRule="auto"/>
              <w:jc w:val="center"/>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2</w:t>
            </w:r>
          </w:p>
        </w:tc>
        <w:tc>
          <w:tcPr>
            <w:tcW w:w="4859" w:type="dxa"/>
            <w:gridSpan w:val="2"/>
            <w:vAlign w:val="center"/>
          </w:tcPr>
          <w:p w14:paraId="17CECDA3">
            <w:pPr>
              <w:spacing w:line="240" w:lineRule="auto"/>
              <w:rPr>
                <w:rFonts w:hint="default" w:ascii="Times New Roman" w:hAnsi="Times New Roman" w:eastAsia="方正仿宋_GBK" w:cs="Times New Roman"/>
                <w:b w:val="0"/>
                <w:bCs w:val="0"/>
                <w:color w:val="auto"/>
                <w:sz w:val="21"/>
                <w:szCs w:val="21"/>
              </w:rPr>
            </w:pPr>
            <w:r>
              <w:rPr>
                <w:rFonts w:hint="default" w:ascii="Times New Roman" w:hAnsi="Times New Roman" w:eastAsia="方正仿宋_GBK" w:cs="Times New Roman"/>
                <w:b w:val="0"/>
                <w:bCs w:val="0"/>
                <w:color w:val="auto"/>
                <w:sz w:val="21"/>
                <w:szCs w:val="21"/>
              </w:rPr>
              <w:t>落实政府采购政策需满足的资格要求</w:t>
            </w:r>
          </w:p>
        </w:tc>
        <w:tc>
          <w:tcPr>
            <w:tcW w:w="3827" w:type="dxa"/>
            <w:vAlign w:val="center"/>
          </w:tcPr>
          <w:p w14:paraId="5BBFFE58">
            <w:pPr>
              <w:spacing w:line="240" w:lineRule="auto"/>
              <w:rPr>
                <w:rFonts w:hint="default" w:ascii="Times New Roman" w:hAnsi="Times New Roman" w:eastAsia="方正仿宋_GBK" w:cs="Times New Roman"/>
                <w:b w:val="0"/>
                <w:bCs w:val="0"/>
                <w:color w:val="auto"/>
                <w:sz w:val="21"/>
                <w:szCs w:val="21"/>
                <w:lang w:eastAsia="zh-CN"/>
              </w:rPr>
            </w:pPr>
            <w:r>
              <w:rPr>
                <w:rFonts w:hint="default" w:ascii="Times New Roman" w:hAnsi="Times New Roman" w:eastAsia="方正仿宋_GBK" w:cs="Times New Roman"/>
                <w:b w:val="0"/>
                <w:bCs w:val="0"/>
                <w:color w:val="auto"/>
                <w:sz w:val="21"/>
                <w:szCs w:val="21"/>
              </w:rPr>
              <w:t>按</w:t>
            </w:r>
            <w:r>
              <w:rPr>
                <w:rFonts w:hint="eastAsia" w:eastAsia="方正仿宋_GBK" w:cs="Times New Roman"/>
                <w:b w:val="0"/>
                <w:bCs w:val="0"/>
                <w:color w:val="auto"/>
                <w:sz w:val="21"/>
                <w:szCs w:val="21"/>
                <w:lang w:eastAsia="zh-CN"/>
              </w:rPr>
              <w:t>“</w:t>
            </w:r>
            <w:r>
              <w:rPr>
                <w:rFonts w:hint="default" w:ascii="Times New Roman" w:hAnsi="Times New Roman" w:eastAsia="方正仿宋_GBK" w:cs="Times New Roman"/>
                <w:b w:val="0"/>
                <w:bCs w:val="0"/>
                <w:color w:val="auto"/>
                <w:sz w:val="21"/>
                <w:szCs w:val="21"/>
              </w:rPr>
              <w:t>第一篇</w:t>
            </w:r>
            <w:r>
              <w:rPr>
                <w:rFonts w:hint="default" w:ascii="Times New Roman" w:hAnsi="Times New Roman" w:eastAsia="方正仿宋_GBK" w:cs="Times New Roman"/>
                <w:b w:val="0"/>
                <w:bCs w:val="0"/>
                <w:color w:val="auto"/>
                <w:sz w:val="21"/>
                <w:szCs w:val="21"/>
                <w:lang w:val="en-US" w:eastAsia="zh-CN"/>
              </w:rPr>
              <w:t>三</w:t>
            </w:r>
            <w:r>
              <w:rPr>
                <w:rFonts w:hint="default" w:ascii="Times New Roman" w:hAnsi="Times New Roman" w:eastAsia="方正仿宋_GBK" w:cs="Times New Roman"/>
                <w:b w:val="0"/>
                <w:bCs w:val="0"/>
                <w:color w:val="auto"/>
                <w:sz w:val="21"/>
                <w:szCs w:val="21"/>
              </w:rPr>
              <w:t>、供应商资格要求（</w:t>
            </w:r>
            <w:r>
              <w:rPr>
                <w:rFonts w:hint="default" w:ascii="Times New Roman" w:hAnsi="Times New Roman" w:eastAsia="方正仿宋_GBK" w:cs="Times New Roman"/>
                <w:b w:val="0"/>
                <w:bCs w:val="0"/>
                <w:color w:val="auto"/>
                <w:sz w:val="21"/>
                <w:szCs w:val="21"/>
                <w:lang w:val="en-US" w:eastAsia="zh-CN"/>
              </w:rPr>
              <w:t>一</w:t>
            </w:r>
            <w:r>
              <w:rPr>
                <w:rFonts w:hint="default" w:ascii="Times New Roman" w:hAnsi="Times New Roman" w:eastAsia="方正仿宋_GBK" w:cs="Times New Roman"/>
                <w:b w:val="0"/>
                <w:bCs w:val="0"/>
                <w:color w:val="auto"/>
                <w:sz w:val="21"/>
                <w:szCs w:val="21"/>
              </w:rPr>
              <w:t>）落实政府采购政策需满足的资格要求</w:t>
            </w:r>
            <w:r>
              <w:rPr>
                <w:rFonts w:hint="eastAsia" w:eastAsia="方正仿宋_GBK" w:cs="Times New Roman"/>
                <w:b w:val="0"/>
                <w:bCs w:val="0"/>
                <w:color w:val="auto"/>
                <w:sz w:val="21"/>
                <w:szCs w:val="21"/>
                <w:lang w:eastAsia="zh-CN"/>
              </w:rPr>
              <w:t>”</w:t>
            </w:r>
            <w:r>
              <w:rPr>
                <w:rFonts w:hint="default" w:ascii="Times New Roman" w:hAnsi="Times New Roman" w:eastAsia="方正仿宋_GBK" w:cs="Times New Roman"/>
                <w:b w:val="0"/>
                <w:bCs w:val="0"/>
                <w:color w:val="auto"/>
                <w:sz w:val="21"/>
                <w:szCs w:val="21"/>
              </w:rPr>
              <w:t>的要求提交。</w:t>
            </w:r>
            <w:r>
              <w:rPr>
                <w:rFonts w:hint="default" w:ascii="Times New Roman" w:hAnsi="Times New Roman" w:eastAsia="方正仿宋_GBK" w:cs="Times New Roman"/>
                <w:b w:val="0"/>
                <w:bCs w:val="0"/>
                <w:color w:val="auto"/>
                <w:sz w:val="21"/>
                <w:szCs w:val="21"/>
                <w:lang w:eastAsia="zh-CN"/>
              </w:rPr>
              <w:t>（如果有）</w:t>
            </w:r>
          </w:p>
        </w:tc>
      </w:tr>
      <w:tr w14:paraId="50E18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746" w:type="dxa"/>
            <w:vAlign w:val="center"/>
          </w:tcPr>
          <w:p w14:paraId="244982E6">
            <w:pPr>
              <w:adjustRightInd w:val="0"/>
              <w:snapToGrid w:val="0"/>
              <w:spacing w:line="240" w:lineRule="auto"/>
              <w:jc w:val="center"/>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3</w:t>
            </w:r>
          </w:p>
        </w:tc>
        <w:tc>
          <w:tcPr>
            <w:tcW w:w="4859" w:type="dxa"/>
            <w:gridSpan w:val="2"/>
            <w:vAlign w:val="center"/>
          </w:tcPr>
          <w:p w14:paraId="43496674">
            <w:pPr>
              <w:spacing w:line="240" w:lineRule="auto"/>
              <w:rPr>
                <w:rFonts w:hint="default" w:ascii="Times New Roman" w:hAnsi="Times New Roman" w:eastAsia="方正仿宋_GBK" w:cs="Times New Roman"/>
                <w:b w:val="0"/>
                <w:bCs w:val="0"/>
                <w:color w:val="auto"/>
                <w:sz w:val="21"/>
                <w:szCs w:val="21"/>
                <w:lang w:eastAsia="zh-CN"/>
              </w:rPr>
            </w:pPr>
            <w:r>
              <w:rPr>
                <w:rFonts w:hint="default" w:ascii="Times New Roman" w:hAnsi="Times New Roman" w:eastAsia="方正仿宋_GBK" w:cs="Times New Roman"/>
                <w:b w:val="0"/>
                <w:bCs w:val="0"/>
                <w:color w:val="auto"/>
                <w:sz w:val="21"/>
                <w:szCs w:val="21"/>
                <w:lang w:eastAsia="zh-CN"/>
              </w:rPr>
              <w:t>特定资格要求</w:t>
            </w:r>
          </w:p>
        </w:tc>
        <w:tc>
          <w:tcPr>
            <w:tcW w:w="3827" w:type="dxa"/>
            <w:vAlign w:val="center"/>
          </w:tcPr>
          <w:p w14:paraId="511440B8">
            <w:pPr>
              <w:spacing w:line="240" w:lineRule="auto"/>
              <w:rPr>
                <w:rFonts w:hint="default" w:ascii="Times New Roman" w:hAnsi="Times New Roman" w:eastAsia="方正仿宋_GBK" w:cs="Times New Roman"/>
                <w:b w:val="0"/>
                <w:bCs w:val="0"/>
                <w:color w:val="auto"/>
                <w:sz w:val="21"/>
                <w:szCs w:val="21"/>
                <w:lang w:val="en-US" w:eastAsia="zh-CN"/>
              </w:rPr>
            </w:pPr>
            <w:r>
              <w:rPr>
                <w:rFonts w:hint="default" w:ascii="Times New Roman" w:hAnsi="Times New Roman" w:eastAsia="方正仿宋_GBK" w:cs="Times New Roman"/>
                <w:b w:val="0"/>
                <w:bCs w:val="0"/>
                <w:color w:val="auto"/>
                <w:sz w:val="21"/>
                <w:szCs w:val="21"/>
                <w:lang w:val="en-US" w:eastAsia="zh-CN"/>
              </w:rPr>
              <w:t>无</w:t>
            </w:r>
          </w:p>
        </w:tc>
      </w:tr>
    </w:tbl>
    <w:p w14:paraId="3814D0A4">
      <w:pPr>
        <w:pStyle w:val="14"/>
        <w:bidi w:val="0"/>
        <w:rPr>
          <w:rFonts w:hint="default" w:ascii="Times New Roman" w:hAnsi="Times New Roman" w:cs="Times New Roman"/>
          <w:color w:val="auto"/>
        </w:rPr>
      </w:pPr>
      <w:r>
        <w:rPr>
          <w:rFonts w:hint="default" w:ascii="Times New Roman" w:hAnsi="Times New Roman" w:cs="Times New Roman"/>
          <w:color w:val="auto"/>
        </w:rPr>
        <w:t>注：</w:t>
      </w:r>
    </w:p>
    <w:p w14:paraId="1AB40D32">
      <w:pPr>
        <w:pStyle w:val="14"/>
        <w:bidi w:val="0"/>
        <w:rPr>
          <w:rFonts w:hint="default" w:ascii="Times New Roman" w:hAnsi="Times New Roman" w:cs="Times New Roman"/>
          <w:color w:val="auto"/>
        </w:rPr>
      </w:pPr>
      <w:r>
        <w:rPr>
          <w:rFonts w:hint="default" w:ascii="Times New Roman" w:hAnsi="Times New Roman" w:cs="Times New Roman"/>
          <w:color w:val="auto"/>
        </w:rPr>
        <w:sym w:font="Wingdings" w:char="F081"/>
      </w:r>
      <w:r>
        <w:rPr>
          <w:rFonts w:hint="default" w:ascii="Times New Roman" w:hAnsi="Times New Roman" w:cs="Times New Roman"/>
          <w:color w:val="auto"/>
        </w:rPr>
        <w:t>供应商按</w:t>
      </w:r>
      <w:r>
        <w:rPr>
          <w:rFonts w:hint="eastAsia" w:ascii="Times New Roman" w:hAnsi="Times New Roman" w:cs="Times New Roman"/>
          <w:color w:val="auto"/>
          <w:lang w:eastAsia="zh-CN"/>
        </w:rPr>
        <w:t>“</w:t>
      </w:r>
      <w:r>
        <w:rPr>
          <w:rFonts w:hint="default" w:ascii="Times New Roman" w:hAnsi="Times New Roman" w:cs="Times New Roman"/>
          <w:color w:val="auto"/>
          <w:lang w:val="en-US" w:eastAsia="zh-CN"/>
        </w:rPr>
        <w:t>多</w:t>
      </w:r>
      <w:r>
        <w:rPr>
          <w:rFonts w:hint="default" w:ascii="Times New Roman" w:hAnsi="Times New Roman" w:cs="Times New Roman"/>
          <w:color w:val="auto"/>
        </w:rPr>
        <w:t>证合一</w:t>
      </w:r>
      <w:r>
        <w:rPr>
          <w:rFonts w:hint="eastAsia" w:ascii="Times New Roman" w:hAnsi="Times New Roman" w:cs="Times New Roman"/>
          <w:color w:val="auto"/>
          <w:lang w:eastAsia="zh-CN"/>
        </w:rPr>
        <w:t>”</w:t>
      </w:r>
      <w:r>
        <w:rPr>
          <w:rFonts w:hint="default" w:ascii="Times New Roman" w:hAnsi="Times New Roman" w:cs="Times New Roman"/>
          <w:color w:val="auto"/>
        </w:rPr>
        <w:t>登记制度办理营业执照的，组织机构代码证、税务登记证（副本）和社会保险登记证以供应商所提供的营业执照（副本）复印件为准。</w:t>
      </w:r>
    </w:p>
    <w:p w14:paraId="41F5E1DE">
      <w:pPr>
        <w:pStyle w:val="14"/>
        <w:bidi w:val="0"/>
        <w:rPr>
          <w:rFonts w:hint="default" w:ascii="Times New Roman" w:hAnsi="Times New Roman" w:cs="Times New Roman"/>
          <w:color w:val="auto"/>
        </w:rPr>
      </w:pPr>
      <w:r>
        <w:rPr>
          <w:rFonts w:hint="default" w:ascii="Times New Roman" w:hAnsi="Times New Roman" w:cs="Times New Roman"/>
          <w:color w:val="auto"/>
        </w:rPr>
        <w:sym w:font="Wingdings" w:char="F082"/>
      </w:r>
      <w:r>
        <w:rPr>
          <w:rFonts w:hint="default" w:ascii="Times New Roman" w:hAnsi="Times New Roman" w:cs="Times New Roman"/>
          <w:color w:val="auto"/>
        </w:rPr>
        <w:t>根据《中华人民共和国政府采购法实施条例》第十九条</w:t>
      </w:r>
      <w:r>
        <w:rPr>
          <w:rFonts w:hint="eastAsia" w:ascii="Times New Roman" w:hAnsi="Times New Roman" w:cs="Times New Roman"/>
          <w:color w:val="auto"/>
          <w:lang w:eastAsia="zh-CN"/>
        </w:rPr>
        <w:t>“</w:t>
      </w:r>
      <w:r>
        <w:rPr>
          <w:rFonts w:hint="default" w:ascii="Times New Roman" w:hAnsi="Times New Roman" w:cs="Times New Roman"/>
          <w:color w:val="auto"/>
        </w:rPr>
        <w:t>参加政府采购活动前三年内，在经营活动中没有重大违法记录</w:t>
      </w:r>
      <w:r>
        <w:rPr>
          <w:rFonts w:hint="eastAsia" w:ascii="Times New Roman" w:hAnsi="Times New Roman" w:cs="Times New Roman"/>
          <w:color w:val="auto"/>
          <w:lang w:eastAsia="zh-CN"/>
        </w:rPr>
        <w:t>”</w:t>
      </w:r>
      <w:r>
        <w:rPr>
          <w:rFonts w:hint="default" w:ascii="Times New Roman" w:hAnsi="Times New Roman" w:cs="Times New Roman"/>
          <w:color w:val="auto"/>
        </w:rPr>
        <w:t>中</w:t>
      </w:r>
      <w:r>
        <w:rPr>
          <w:rFonts w:hint="eastAsia" w:ascii="Times New Roman" w:hAnsi="Times New Roman" w:cs="Times New Roman"/>
          <w:color w:val="auto"/>
          <w:lang w:eastAsia="zh-CN"/>
        </w:rPr>
        <w:t>“</w:t>
      </w:r>
      <w:r>
        <w:rPr>
          <w:rFonts w:hint="default" w:ascii="Times New Roman" w:hAnsi="Times New Roman" w:cs="Times New Roman"/>
          <w:color w:val="auto"/>
        </w:rPr>
        <w:t>重大违法记录</w:t>
      </w:r>
      <w:r>
        <w:rPr>
          <w:rFonts w:hint="eastAsia" w:ascii="Times New Roman" w:hAnsi="Times New Roman" w:cs="Times New Roman"/>
          <w:color w:val="auto"/>
          <w:lang w:eastAsia="zh-CN"/>
        </w:rPr>
        <w:t>”</w:t>
      </w:r>
      <w:r>
        <w:rPr>
          <w:rFonts w:hint="default" w:ascii="Times New Roman" w:hAnsi="Times New Roman" w:cs="Times New Roman"/>
          <w:color w:val="auto"/>
        </w:rPr>
        <w:t>，是指供应商因违法经营受到刑事处罚或者责令停产停业、吊销许可证或者执照、较大数额罚款等行政处罚。行政处罚中</w:t>
      </w:r>
      <w:r>
        <w:rPr>
          <w:rFonts w:hint="eastAsia" w:ascii="Times New Roman" w:hAnsi="Times New Roman" w:cs="Times New Roman"/>
          <w:color w:val="auto"/>
          <w:lang w:eastAsia="zh-CN"/>
        </w:rPr>
        <w:t>“</w:t>
      </w:r>
      <w:r>
        <w:rPr>
          <w:rFonts w:hint="default" w:ascii="Times New Roman" w:hAnsi="Times New Roman" w:cs="Times New Roman"/>
          <w:color w:val="auto"/>
        </w:rPr>
        <w:t>较大数额</w:t>
      </w:r>
      <w:r>
        <w:rPr>
          <w:rFonts w:hint="eastAsia" w:ascii="Times New Roman" w:hAnsi="Times New Roman" w:cs="Times New Roman"/>
          <w:color w:val="auto"/>
          <w:lang w:eastAsia="zh-CN"/>
        </w:rPr>
        <w:t>”</w:t>
      </w:r>
      <w:r>
        <w:rPr>
          <w:rFonts w:hint="default" w:ascii="Times New Roman" w:hAnsi="Times New Roman" w:cs="Times New Roman"/>
          <w:color w:val="auto"/>
        </w:rPr>
        <w:t>的认定标准，由</w:t>
      </w:r>
      <w:r>
        <w:rPr>
          <w:rFonts w:hint="eastAsia" w:ascii="Times New Roman" w:hAnsi="Times New Roman" w:cs="Times New Roman"/>
          <w:color w:val="auto"/>
          <w:lang w:eastAsia="zh-CN"/>
        </w:rPr>
        <w:t>被处罚人</w:t>
      </w:r>
      <w:r>
        <w:rPr>
          <w:rFonts w:hint="default" w:ascii="Times New Roman" w:hAnsi="Times New Roman" w:cs="Times New Roman"/>
          <w:color w:val="auto"/>
        </w:rPr>
        <w:t>所在的省、自治区、直辖市人民政府制定，国务院有关部门规定了较大数额标准的，从其规定。</w:t>
      </w:r>
    </w:p>
    <w:p w14:paraId="3D14B680">
      <w:pPr>
        <w:pStyle w:val="14"/>
        <w:bidi w:val="0"/>
        <w:rPr>
          <w:rFonts w:hint="default" w:ascii="Times New Roman" w:hAnsi="Times New Roman" w:cs="Times New Roman"/>
          <w:color w:val="auto"/>
        </w:rPr>
      </w:pPr>
      <w:r>
        <w:rPr>
          <w:rFonts w:hint="default" w:ascii="Times New Roman" w:hAnsi="Times New Roman" w:cs="Times New Roman"/>
          <w:color w:val="auto"/>
        </w:rPr>
        <w:t>2.符合性检查。依据</w:t>
      </w:r>
      <w:r>
        <w:rPr>
          <w:rFonts w:hint="default" w:ascii="Times New Roman" w:hAnsi="Times New Roman" w:cs="Times New Roman"/>
          <w:color w:val="auto"/>
          <w:lang w:eastAsia="zh-CN"/>
        </w:rPr>
        <w:t>采购</w:t>
      </w:r>
      <w:r>
        <w:rPr>
          <w:rFonts w:hint="default" w:ascii="Times New Roman" w:hAnsi="Times New Roman" w:cs="Times New Roman"/>
          <w:color w:val="auto"/>
        </w:rPr>
        <w:t>文件的规定，从响应文件的有效性、完整性和对采</w:t>
      </w:r>
      <w:r>
        <w:rPr>
          <w:rFonts w:hint="eastAsia" w:ascii="Times New Roman" w:hAnsi="Times New Roman" w:cs="Times New Roman"/>
          <w:color w:val="auto"/>
          <w:lang w:eastAsia="zh-CN"/>
        </w:rPr>
        <w:t>购</w:t>
      </w:r>
      <w:r>
        <w:rPr>
          <w:rFonts w:hint="default" w:ascii="Times New Roman" w:hAnsi="Times New Roman" w:cs="Times New Roman"/>
          <w:color w:val="auto"/>
        </w:rPr>
        <w:t>文件的响应程度进行审查，以确定是否对</w:t>
      </w:r>
      <w:r>
        <w:rPr>
          <w:rFonts w:hint="default" w:ascii="Times New Roman" w:hAnsi="Times New Roman" w:cs="Times New Roman"/>
          <w:color w:val="auto"/>
          <w:lang w:eastAsia="zh-CN"/>
        </w:rPr>
        <w:t>采购</w:t>
      </w:r>
      <w:r>
        <w:rPr>
          <w:rFonts w:hint="default" w:ascii="Times New Roman" w:hAnsi="Times New Roman" w:cs="Times New Roman"/>
          <w:color w:val="auto"/>
        </w:rPr>
        <w:t>文件的实质性要求作出响应。符合性检查资料表如下：</w:t>
      </w:r>
    </w:p>
    <w:tbl>
      <w:tblPr>
        <w:tblStyle w:val="10"/>
        <w:tblW w:w="9284" w:type="dxa"/>
        <w:tblInd w:w="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358"/>
        <w:gridCol w:w="2055"/>
        <w:gridCol w:w="8"/>
        <w:gridCol w:w="5041"/>
        <w:gridCol w:w="8"/>
      </w:tblGrid>
      <w:tr w14:paraId="03084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814" w:type="dxa"/>
            <w:tcBorders>
              <w:top w:val="single" w:color="auto" w:sz="4" w:space="0"/>
              <w:left w:val="single" w:color="auto" w:sz="4" w:space="0"/>
              <w:bottom w:val="single" w:color="auto" w:sz="4" w:space="0"/>
              <w:right w:val="single" w:color="auto" w:sz="4" w:space="0"/>
            </w:tcBorders>
            <w:vAlign w:val="center"/>
          </w:tcPr>
          <w:p w14:paraId="0E1AFD7C">
            <w:pPr>
              <w:keepNext w:val="0"/>
              <w:keepLines w:val="0"/>
              <w:pageBreakBefore w:val="0"/>
              <w:widowControl w:val="0"/>
              <w:kinsoku/>
              <w:wordWrap/>
              <w:overflowPunct/>
              <w:topLinePunct w:val="0"/>
              <w:autoSpaceDE/>
              <w:autoSpaceDN/>
              <w:bidi w:val="0"/>
              <w:adjustRightInd/>
              <w:snapToGrid w:val="0"/>
              <w:spacing w:line="280" w:lineRule="exact"/>
              <w:ind w:firstLine="0"/>
              <w:jc w:val="center"/>
              <w:textAlignment w:val="auto"/>
              <w:rPr>
                <w:rFonts w:hint="default" w:ascii="Times New Roman" w:hAnsi="Times New Roman" w:eastAsia="方正黑体_GBK" w:cs="Times New Roman"/>
                <w:color w:val="auto"/>
                <w:sz w:val="21"/>
                <w:szCs w:val="21"/>
                <w:highlight w:val="none"/>
              </w:rPr>
            </w:pPr>
            <w:r>
              <w:rPr>
                <w:rFonts w:hint="default" w:ascii="Times New Roman" w:hAnsi="Times New Roman" w:eastAsia="方正黑体_GBK" w:cs="Times New Roman"/>
                <w:color w:val="auto"/>
                <w:sz w:val="21"/>
                <w:szCs w:val="21"/>
                <w:highlight w:val="none"/>
              </w:rPr>
              <w:t>序号</w:t>
            </w:r>
          </w:p>
        </w:tc>
        <w:tc>
          <w:tcPr>
            <w:tcW w:w="3421" w:type="dxa"/>
            <w:gridSpan w:val="3"/>
            <w:tcBorders>
              <w:top w:val="single" w:color="auto" w:sz="4" w:space="0"/>
              <w:left w:val="single" w:color="auto" w:sz="4" w:space="0"/>
              <w:bottom w:val="single" w:color="auto" w:sz="4" w:space="0"/>
              <w:right w:val="single" w:color="auto" w:sz="4" w:space="0"/>
            </w:tcBorders>
            <w:vAlign w:val="center"/>
          </w:tcPr>
          <w:p w14:paraId="5E945A99">
            <w:pPr>
              <w:keepNext w:val="0"/>
              <w:keepLines w:val="0"/>
              <w:pageBreakBefore w:val="0"/>
              <w:widowControl w:val="0"/>
              <w:kinsoku/>
              <w:wordWrap/>
              <w:overflowPunct/>
              <w:topLinePunct w:val="0"/>
              <w:autoSpaceDE/>
              <w:autoSpaceDN/>
              <w:bidi w:val="0"/>
              <w:adjustRightInd/>
              <w:snapToGrid w:val="0"/>
              <w:spacing w:line="280" w:lineRule="exact"/>
              <w:ind w:firstLine="420" w:firstLineChars="200"/>
              <w:jc w:val="center"/>
              <w:textAlignment w:val="auto"/>
              <w:rPr>
                <w:rFonts w:hint="default" w:ascii="Times New Roman" w:hAnsi="Times New Roman" w:eastAsia="方正黑体_GBK" w:cs="Times New Roman"/>
                <w:color w:val="auto"/>
                <w:sz w:val="21"/>
                <w:szCs w:val="21"/>
                <w:highlight w:val="none"/>
              </w:rPr>
            </w:pPr>
            <w:r>
              <w:rPr>
                <w:rFonts w:hint="default" w:ascii="Times New Roman" w:hAnsi="Times New Roman" w:eastAsia="方正黑体_GBK" w:cs="Times New Roman"/>
                <w:color w:val="auto"/>
                <w:sz w:val="21"/>
                <w:szCs w:val="21"/>
                <w:highlight w:val="none"/>
              </w:rPr>
              <w:t>评审因素</w:t>
            </w:r>
          </w:p>
        </w:tc>
        <w:tc>
          <w:tcPr>
            <w:tcW w:w="5049" w:type="dxa"/>
            <w:gridSpan w:val="2"/>
            <w:tcBorders>
              <w:top w:val="single" w:color="auto" w:sz="4" w:space="0"/>
              <w:left w:val="single" w:color="auto" w:sz="4" w:space="0"/>
              <w:bottom w:val="single" w:color="auto" w:sz="4" w:space="0"/>
              <w:right w:val="single" w:color="auto" w:sz="4" w:space="0"/>
            </w:tcBorders>
            <w:vAlign w:val="center"/>
          </w:tcPr>
          <w:p w14:paraId="6F5D3E23">
            <w:pPr>
              <w:keepNext w:val="0"/>
              <w:keepLines w:val="0"/>
              <w:pageBreakBefore w:val="0"/>
              <w:widowControl w:val="0"/>
              <w:kinsoku/>
              <w:wordWrap/>
              <w:overflowPunct/>
              <w:topLinePunct w:val="0"/>
              <w:autoSpaceDE/>
              <w:autoSpaceDN/>
              <w:bidi w:val="0"/>
              <w:adjustRightInd/>
              <w:snapToGrid w:val="0"/>
              <w:spacing w:line="280" w:lineRule="exact"/>
              <w:ind w:firstLine="420" w:firstLineChars="200"/>
              <w:jc w:val="center"/>
              <w:textAlignment w:val="auto"/>
              <w:rPr>
                <w:rFonts w:hint="default" w:ascii="Times New Roman" w:hAnsi="Times New Roman" w:eastAsia="方正黑体_GBK" w:cs="Times New Roman"/>
                <w:color w:val="auto"/>
                <w:sz w:val="21"/>
                <w:szCs w:val="21"/>
                <w:highlight w:val="none"/>
              </w:rPr>
            </w:pPr>
            <w:r>
              <w:rPr>
                <w:rFonts w:hint="default" w:ascii="Times New Roman" w:hAnsi="Times New Roman" w:eastAsia="方正黑体_GBK" w:cs="Times New Roman"/>
                <w:color w:val="auto"/>
                <w:sz w:val="21"/>
                <w:szCs w:val="21"/>
                <w:highlight w:val="none"/>
              </w:rPr>
              <w:t>评审标准</w:t>
            </w:r>
          </w:p>
        </w:tc>
      </w:tr>
      <w:tr w14:paraId="0F92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99" w:hRule="atLeast"/>
        </w:trPr>
        <w:tc>
          <w:tcPr>
            <w:tcW w:w="814" w:type="dxa"/>
            <w:vMerge w:val="restart"/>
            <w:tcBorders>
              <w:top w:val="single" w:color="auto" w:sz="4" w:space="0"/>
              <w:left w:val="single" w:color="auto" w:sz="4" w:space="0"/>
              <w:bottom w:val="single" w:color="auto" w:sz="4" w:space="0"/>
              <w:right w:val="single" w:color="auto" w:sz="4" w:space="0"/>
            </w:tcBorders>
            <w:vAlign w:val="center"/>
          </w:tcPr>
          <w:p w14:paraId="05BDA4BA">
            <w:pPr>
              <w:keepNext w:val="0"/>
              <w:keepLines w:val="0"/>
              <w:pageBreakBefore w:val="0"/>
              <w:widowControl w:val="0"/>
              <w:kinsoku/>
              <w:wordWrap/>
              <w:overflowPunct/>
              <w:topLinePunct w:val="0"/>
              <w:autoSpaceDE/>
              <w:autoSpaceDN/>
              <w:bidi w:val="0"/>
              <w:adjustRightInd/>
              <w:snapToGrid w:val="0"/>
              <w:spacing w:line="240" w:lineRule="auto"/>
              <w:ind w:firstLine="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1</w:t>
            </w:r>
          </w:p>
        </w:tc>
        <w:tc>
          <w:tcPr>
            <w:tcW w:w="1358" w:type="dxa"/>
            <w:vMerge w:val="restart"/>
            <w:tcBorders>
              <w:top w:val="single" w:color="auto" w:sz="4" w:space="0"/>
              <w:left w:val="single" w:color="auto" w:sz="4" w:space="0"/>
              <w:bottom w:val="single" w:color="auto" w:sz="4" w:space="0"/>
              <w:right w:val="single" w:color="auto" w:sz="4" w:space="0"/>
            </w:tcBorders>
            <w:vAlign w:val="center"/>
          </w:tcPr>
          <w:p w14:paraId="35A10485">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有效性审查</w:t>
            </w:r>
          </w:p>
        </w:tc>
        <w:tc>
          <w:tcPr>
            <w:tcW w:w="2055" w:type="dxa"/>
            <w:tcBorders>
              <w:top w:val="single" w:color="auto" w:sz="4" w:space="0"/>
              <w:left w:val="single" w:color="auto" w:sz="4" w:space="0"/>
              <w:bottom w:val="single" w:color="auto" w:sz="4" w:space="0"/>
              <w:right w:val="single" w:color="auto" w:sz="4" w:space="0"/>
            </w:tcBorders>
            <w:vAlign w:val="center"/>
          </w:tcPr>
          <w:p w14:paraId="22F234FB">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响应文件签署</w:t>
            </w:r>
          </w:p>
        </w:tc>
        <w:tc>
          <w:tcPr>
            <w:tcW w:w="5049" w:type="dxa"/>
            <w:gridSpan w:val="2"/>
            <w:tcBorders>
              <w:top w:val="single" w:color="auto" w:sz="4" w:space="0"/>
              <w:left w:val="single" w:color="auto" w:sz="4" w:space="0"/>
              <w:bottom w:val="single" w:color="auto" w:sz="4" w:space="0"/>
              <w:right w:val="single" w:color="auto" w:sz="4" w:space="0"/>
            </w:tcBorders>
            <w:vAlign w:val="center"/>
          </w:tcPr>
          <w:p w14:paraId="4904B932">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响应文件上法定代表人或其授权代表人的签字齐全。</w:t>
            </w:r>
          </w:p>
        </w:tc>
      </w:tr>
      <w:tr w14:paraId="1B84C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805" w:hRule="atLeast"/>
        </w:trPr>
        <w:tc>
          <w:tcPr>
            <w:tcW w:w="814" w:type="dxa"/>
            <w:vMerge w:val="continue"/>
            <w:tcBorders>
              <w:top w:val="single" w:color="auto" w:sz="4" w:space="0"/>
              <w:left w:val="single" w:color="auto" w:sz="4" w:space="0"/>
              <w:bottom w:val="single" w:color="auto" w:sz="4" w:space="0"/>
              <w:right w:val="single" w:color="auto" w:sz="4" w:space="0"/>
            </w:tcBorders>
            <w:vAlign w:val="center"/>
          </w:tcPr>
          <w:p w14:paraId="01A668C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358" w:type="dxa"/>
            <w:vMerge w:val="continue"/>
            <w:tcBorders>
              <w:top w:val="single" w:color="auto" w:sz="4" w:space="0"/>
              <w:left w:val="single" w:color="auto" w:sz="4" w:space="0"/>
              <w:bottom w:val="single" w:color="auto" w:sz="4" w:space="0"/>
              <w:right w:val="single" w:color="auto" w:sz="4" w:space="0"/>
            </w:tcBorders>
            <w:vAlign w:val="center"/>
          </w:tcPr>
          <w:p w14:paraId="1035C29C">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2055" w:type="dxa"/>
            <w:tcBorders>
              <w:top w:val="single" w:color="auto" w:sz="4" w:space="0"/>
              <w:left w:val="single" w:color="auto" w:sz="4" w:space="0"/>
              <w:bottom w:val="single" w:color="auto" w:sz="4" w:space="0"/>
              <w:right w:val="single" w:color="auto" w:sz="4" w:space="0"/>
            </w:tcBorders>
            <w:vAlign w:val="center"/>
          </w:tcPr>
          <w:p w14:paraId="3C728BEA">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法定代表人身份证明及授权委托书</w:t>
            </w:r>
          </w:p>
        </w:tc>
        <w:tc>
          <w:tcPr>
            <w:tcW w:w="5049" w:type="dxa"/>
            <w:gridSpan w:val="2"/>
            <w:tcBorders>
              <w:top w:val="single" w:color="auto" w:sz="4" w:space="0"/>
              <w:left w:val="single" w:color="auto" w:sz="4" w:space="0"/>
              <w:bottom w:val="single" w:color="auto" w:sz="4" w:space="0"/>
              <w:right w:val="single" w:color="auto" w:sz="4" w:space="0"/>
            </w:tcBorders>
            <w:vAlign w:val="center"/>
          </w:tcPr>
          <w:p w14:paraId="776513D4">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法定代表人身份证明及授权委托书有效，符合采购文件规定的格式，签字或盖章齐全。</w:t>
            </w:r>
          </w:p>
        </w:tc>
      </w:tr>
      <w:tr w14:paraId="54B01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79" w:hRule="atLeast"/>
        </w:trPr>
        <w:tc>
          <w:tcPr>
            <w:tcW w:w="814" w:type="dxa"/>
            <w:vMerge w:val="continue"/>
            <w:tcBorders>
              <w:top w:val="single" w:color="auto" w:sz="4" w:space="0"/>
              <w:left w:val="single" w:color="auto" w:sz="4" w:space="0"/>
              <w:bottom w:val="single" w:color="auto" w:sz="4" w:space="0"/>
              <w:right w:val="single" w:color="auto" w:sz="4" w:space="0"/>
            </w:tcBorders>
            <w:vAlign w:val="center"/>
          </w:tcPr>
          <w:p w14:paraId="49FE856A">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358" w:type="dxa"/>
            <w:vMerge w:val="continue"/>
            <w:tcBorders>
              <w:top w:val="single" w:color="auto" w:sz="4" w:space="0"/>
              <w:left w:val="single" w:color="auto" w:sz="4" w:space="0"/>
              <w:bottom w:val="single" w:color="auto" w:sz="4" w:space="0"/>
              <w:right w:val="single" w:color="auto" w:sz="4" w:space="0"/>
            </w:tcBorders>
            <w:vAlign w:val="center"/>
          </w:tcPr>
          <w:p w14:paraId="7FBD95FF">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2055" w:type="dxa"/>
            <w:tcBorders>
              <w:top w:val="single" w:color="auto" w:sz="4" w:space="0"/>
              <w:left w:val="single" w:color="auto" w:sz="4" w:space="0"/>
              <w:bottom w:val="single" w:color="auto" w:sz="4" w:space="0"/>
              <w:right w:val="single" w:color="auto" w:sz="4" w:space="0"/>
            </w:tcBorders>
            <w:vAlign w:val="center"/>
          </w:tcPr>
          <w:p w14:paraId="5A894730">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zh-CN"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响应</w:t>
            </w:r>
            <w:r>
              <w:rPr>
                <w:rFonts w:hint="default" w:ascii="Times New Roman" w:hAnsi="Times New Roman" w:eastAsia="方正仿宋_GBK" w:cs="Times New Roman"/>
                <w:b w:val="0"/>
                <w:color w:val="auto"/>
                <w:kern w:val="2"/>
                <w:sz w:val="21"/>
                <w:szCs w:val="21"/>
                <w:highlight w:val="none"/>
                <w:lang w:val="zh-CN" w:eastAsia="zh-CN" w:bidi="ar-SA"/>
              </w:rPr>
              <w:t>方案</w:t>
            </w:r>
          </w:p>
        </w:tc>
        <w:tc>
          <w:tcPr>
            <w:tcW w:w="5049" w:type="dxa"/>
            <w:gridSpan w:val="2"/>
            <w:tcBorders>
              <w:top w:val="single" w:color="auto" w:sz="4" w:space="0"/>
              <w:left w:val="single" w:color="auto" w:sz="4" w:space="0"/>
              <w:bottom w:val="single" w:color="auto" w:sz="4" w:space="0"/>
              <w:right w:val="single" w:color="auto" w:sz="4" w:space="0"/>
            </w:tcBorders>
            <w:vAlign w:val="center"/>
          </w:tcPr>
          <w:p w14:paraId="3F2735F5">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zh-CN" w:eastAsia="zh-CN" w:bidi="ar-SA"/>
              </w:rPr>
              <w:t>只能有一个</w:t>
            </w:r>
            <w:r>
              <w:rPr>
                <w:rFonts w:hint="default" w:ascii="Times New Roman" w:hAnsi="Times New Roman" w:eastAsia="方正仿宋_GBK" w:cs="Times New Roman"/>
                <w:b w:val="0"/>
                <w:color w:val="auto"/>
                <w:kern w:val="2"/>
                <w:sz w:val="21"/>
                <w:szCs w:val="21"/>
                <w:highlight w:val="none"/>
                <w:lang w:val="en-US" w:eastAsia="zh-CN" w:bidi="ar-SA"/>
              </w:rPr>
              <w:t>响应</w:t>
            </w:r>
            <w:r>
              <w:rPr>
                <w:rFonts w:hint="default" w:ascii="Times New Roman" w:hAnsi="Times New Roman" w:eastAsia="方正仿宋_GBK" w:cs="Times New Roman"/>
                <w:b w:val="0"/>
                <w:color w:val="auto"/>
                <w:kern w:val="2"/>
                <w:sz w:val="21"/>
                <w:szCs w:val="21"/>
                <w:highlight w:val="none"/>
                <w:lang w:val="zh-CN" w:eastAsia="zh-CN" w:bidi="ar-SA"/>
              </w:rPr>
              <w:t>方案。</w:t>
            </w:r>
          </w:p>
        </w:tc>
      </w:tr>
      <w:tr w14:paraId="515B0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79" w:hRule="atLeast"/>
        </w:trPr>
        <w:tc>
          <w:tcPr>
            <w:tcW w:w="814" w:type="dxa"/>
            <w:vMerge w:val="continue"/>
            <w:tcBorders>
              <w:top w:val="single" w:color="auto" w:sz="4" w:space="0"/>
              <w:left w:val="single" w:color="auto" w:sz="4" w:space="0"/>
              <w:bottom w:val="single" w:color="auto" w:sz="4" w:space="0"/>
              <w:right w:val="single" w:color="auto" w:sz="4" w:space="0"/>
            </w:tcBorders>
            <w:vAlign w:val="center"/>
          </w:tcPr>
          <w:p w14:paraId="0243543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358" w:type="dxa"/>
            <w:vMerge w:val="continue"/>
            <w:tcBorders>
              <w:top w:val="single" w:color="auto" w:sz="4" w:space="0"/>
              <w:left w:val="single" w:color="auto" w:sz="4" w:space="0"/>
              <w:bottom w:val="single" w:color="auto" w:sz="4" w:space="0"/>
              <w:right w:val="single" w:color="auto" w:sz="4" w:space="0"/>
            </w:tcBorders>
            <w:vAlign w:val="center"/>
          </w:tcPr>
          <w:p w14:paraId="11187DEA">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2055" w:type="dxa"/>
            <w:tcBorders>
              <w:top w:val="single" w:color="auto" w:sz="4" w:space="0"/>
              <w:left w:val="single" w:color="auto" w:sz="4" w:space="0"/>
              <w:bottom w:val="single" w:color="auto" w:sz="4" w:space="0"/>
              <w:right w:val="single" w:color="auto" w:sz="4" w:space="0"/>
            </w:tcBorders>
            <w:vAlign w:val="center"/>
          </w:tcPr>
          <w:p w14:paraId="54230CD8">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zh-CN"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报价唯一</w:t>
            </w:r>
          </w:p>
        </w:tc>
        <w:tc>
          <w:tcPr>
            <w:tcW w:w="5049" w:type="dxa"/>
            <w:gridSpan w:val="2"/>
            <w:tcBorders>
              <w:top w:val="single" w:color="auto" w:sz="4" w:space="0"/>
              <w:left w:val="single" w:color="auto" w:sz="4" w:space="0"/>
              <w:bottom w:val="single" w:color="auto" w:sz="4" w:space="0"/>
              <w:right w:val="single" w:color="auto" w:sz="4" w:space="0"/>
            </w:tcBorders>
            <w:vAlign w:val="center"/>
          </w:tcPr>
          <w:p w14:paraId="2E9F00A4">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只能有一个有效报价，不得提交选择性报价。</w:t>
            </w:r>
          </w:p>
        </w:tc>
      </w:tr>
      <w:tr w14:paraId="347F2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579" w:hRule="atLeast"/>
        </w:trPr>
        <w:tc>
          <w:tcPr>
            <w:tcW w:w="814" w:type="dxa"/>
            <w:tcBorders>
              <w:top w:val="single" w:color="auto" w:sz="4" w:space="0"/>
              <w:left w:val="single" w:color="auto" w:sz="4" w:space="0"/>
              <w:bottom w:val="single" w:color="auto" w:sz="4" w:space="0"/>
              <w:right w:val="single" w:color="auto" w:sz="4" w:space="0"/>
            </w:tcBorders>
            <w:vAlign w:val="center"/>
          </w:tcPr>
          <w:p w14:paraId="7442EE32">
            <w:pPr>
              <w:keepNext w:val="0"/>
              <w:keepLines w:val="0"/>
              <w:pageBreakBefore w:val="0"/>
              <w:widowControl w:val="0"/>
              <w:kinsoku/>
              <w:wordWrap/>
              <w:overflowPunct/>
              <w:topLinePunct w:val="0"/>
              <w:autoSpaceDE/>
              <w:autoSpaceDN/>
              <w:bidi w:val="0"/>
              <w:adjustRightInd/>
              <w:snapToGrid w:val="0"/>
              <w:spacing w:line="240" w:lineRule="auto"/>
              <w:ind w:firstLine="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2</w:t>
            </w:r>
          </w:p>
        </w:tc>
        <w:tc>
          <w:tcPr>
            <w:tcW w:w="1358" w:type="dxa"/>
            <w:tcBorders>
              <w:top w:val="single" w:color="auto" w:sz="4" w:space="0"/>
              <w:left w:val="single" w:color="auto" w:sz="4" w:space="0"/>
              <w:bottom w:val="single" w:color="auto" w:sz="4" w:space="0"/>
              <w:right w:val="single" w:color="auto" w:sz="4" w:space="0"/>
            </w:tcBorders>
            <w:vAlign w:val="center"/>
          </w:tcPr>
          <w:p w14:paraId="2EAC9D38">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完整性审查</w:t>
            </w:r>
          </w:p>
        </w:tc>
        <w:tc>
          <w:tcPr>
            <w:tcW w:w="2055" w:type="dxa"/>
            <w:tcBorders>
              <w:top w:val="single" w:color="auto" w:sz="4" w:space="0"/>
              <w:left w:val="single" w:color="auto" w:sz="4" w:space="0"/>
              <w:bottom w:val="single" w:color="auto" w:sz="4" w:space="0"/>
              <w:right w:val="single" w:color="auto" w:sz="4" w:space="0"/>
            </w:tcBorders>
            <w:vAlign w:val="center"/>
          </w:tcPr>
          <w:p w14:paraId="728BDEEC">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响应</w:t>
            </w:r>
            <w:r>
              <w:rPr>
                <w:rFonts w:hint="default" w:ascii="Times New Roman" w:hAnsi="Times New Roman" w:eastAsia="方正仿宋_GBK" w:cs="Times New Roman"/>
                <w:b w:val="0"/>
                <w:color w:val="auto"/>
                <w:kern w:val="2"/>
                <w:sz w:val="21"/>
                <w:szCs w:val="21"/>
                <w:highlight w:val="none"/>
                <w:lang w:val="zh-CN" w:eastAsia="zh-CN" w:bidi="ar-SA"/>
              </w:rPr>
              <w:t>文件份数</w:t>
            </w:r>
          </w:p>
        </w:tc>
        <w:tc>
          <w:tcPr>
            <w:tcW w:w="5049" w:type="dxa"/>
            <w:gridSpan w:val="2"/>
            <w:tcBorders>
              <w:top w:val="single" w:color="auto" w:sz="4" w:space="0"/>
              <w:left w:val="single" w:color="auto" w:sz="4" w:space="0"/>
              <w:bottom w:val="single" w:color="auto" w:sz="4" w:space="0"/>
              <w:right w:val="single" w:color="auto" w:sz="4" w:space="0"/>
            </w:tcBorders>
            <w:vAlign w:val="center"/>
          </w:tcPr>
          <w:p w14:paraId="7BE7ED63">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响应</w:t>
            </w:r>
            <w:r>
              <w:rPr>
                <w:rFonts w:hint="default" w:ascii="Times New Roman" w:hAnsi="Times New Roman" w:eastAsia="方正仿宋_GBK" w:cs="Times New Roman"/>
                <w:b w:val="0"/>
                <w:color w:val="auto"/>
                <w:kern w:val="2"/>
                <w:sz w:val="21"/>
                <w:szCs w:val="21"/>
                <w:highlight w:val="none"/>
                <w:lang w:val="zh-CN" w:eastAsia="zh-CN" w:bidi="ar-SA"/>
              </w:rPr>
              <w:t>文件正、副本数量符合</w:t>
            </w:r>
            <w:r>
              <w:rPr>
                <w:rFonts w:hint="default" w:ascii="Times New Roman" w:hAnsi="Times New Roman" w:eastAsia="方正仿宋_GBK" w:cs="Times New Roman"/>
                <w:b w:val="0"/>
                <w:color w:val="auto"/>
                <w:kern w:val="2"/>
                <w:sz w:val="21"/>
                <w:szCs w:val="21"/>
                <w:highlight w:val="none"/>
                <w:lang w:val="en-US" w:eastAsia="zh-CN" w:bidi="ar-SA"/>
              </w:rPr>
              <w:t>竞采文件</w:t>
            </w:r>
            <w:r>
              <w:rPr>
                <w:rFonts w:hint="default" w:ascii="Times New Roman" w:hAnsi="Times New Roman" w:eastAsia="方正仿宋_GBK" w:cs="Times New Roman"/>
                <w:b w:val="0"/>
                <w:color w:val="auto"/>
                <w:kern w:val="2"/>
                <w:sz w:val="21"/>
                <w:szCs w:val="21"/>
                <w:highlight w:val="none"/>
                <w:lang w:val="zh-CN" w:eastAsia="zh-CN" w:bidi="ar-SA"/>
              </w:rPr>
              <w:t>要求。</w:t>
            </w:r>
          </w:p>
        </w:tc>
      </w:tr>
      <w:tr w14:paraId="2AE12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799" w:hRule="atLeast"/>
        </w:trPr>
        <w:tc>
          <w:tcPr>
            <w:tcW w:w="814" w:type="dxa"/>
            <w:vMerge w:val="restart"/>
            <w:tcBorders>
              <w:top w:val="single" w:color="auto" w:sz="4" w:space="0"/>
              <w:left w:val="single" w:color="auto" w:sz="4" w:space="0"/>
              <w:bottom w:val="single" w:color="auto" w:sz="4" w:space="0"/>
              <w:right w:val="single" w:color="auto" w:sz="4" w:space="0"/>
            </w:tcBorders>
            <w:vAlign w:val="center"/>
          </w:tcPr>
          <w:p w14:paraId="4985360F">
            <w:pPr>
              <w:keepNext w:val="0"/>
              <w:keepLines w:val="0"/>
              <w:pageBreakBefore w:val="0"/>
              <w:widowControl w:val="0"/>
              <w:kinsoku/>
              <w:wordWrap/>
              <w:overflowPunct/>
              <w:topLinePunct w:val="0"/>
              <w:autoSpaceDE/>
              <w:autoSpaceDN/>
              <w:bidi w:val="0"/>
              <w:adjustRightInd/>
              <w:snapToGrid w:val="0"/>
              <w:spacing w:line="240" w:lineRule="auto"/>
              <w:ind w:firstLine="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3</w:t>
            </w:r>
          </w:p>
        </w:tc>
        <w:tc>
          <w:tcPr>
            <w:tcW w:w="1358" w:type="dxa"/>
            <w:vMerge w:val="restart"/>
            <w:tcBorders>
              <w:top w:val="single" w:color="auto" w:sz="4" w:space="0"/>
              <w:left w:val="single" w:color="auto" w:sz="4" w:space="0"/>
              <w:bottom w:val="single" w:color="auto" w:sz="4" w:space="0"/>
              <w:right w:val="single" w:color="auto" w:sz="4" w:space="0"/>
            </w:tcBorders>
            <w:vAlign w:val="center"/>
          </w:tcPr>
          <w:p w14:paraId="6EE5B5BC">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zh-CN"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采购文件的响应程度审查</w:t>
            </w:r>
          </w:p>
        </w:tc>
        <w:tc>
          <w:tcPr>
            <w:tcW w:w="2055" w:type="dxa"/>
            <w:tcBorders>
              <w:top w:val="single" w:color="auto" w:sz="4" w:space="0"/>
              <w:left w:val="single" w:color="auto" w:sz="4" w:space="0"/>
              <w:bottom w:val="single" w:color="auto" w:sz="4" w:space="0"/>
              <w:right w:val="single" w:color="auto" w:sz="4" w:space="0"/>
            </w:tcBorders>
            <w:vAlign w:val="center"/>
          </w:tcPr>
          <w:p w14:paraId="08E2CDE9">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响应文件内容</w:t>
            </w:r>
          </w:p>
        </w:tc>
        <w:tc>
          <w:tcPr>
            <w:tcW w:w="5049" w:type="dxa"/>
            <w:gridSpan w:val="2"/>
            <w:tcBorders>
              <w:top w:val="single" w:color="auto" w:sz="4" w:space="0"/>
              <w:left w:val="single" w:color="auto" w:sz="4" w:space="0"/>
              <w:bottom w:val="single" w:color="auto" w:sz="4" w:space="0"/>
              <w:right w:val="single" w:color="auto" w:sz="4" w:space="0"/>
            </w:tcBorders>
            <w:vAlign w:val="center"/>
          </w:tcPr>
          <w:p w14:paraId="15C66A27">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对采购文件第二篇、第三篇规定的采购内容作出响应。</w:t>
            </w:r>
          </w:p>
        </w:tc>
      </w:tr>
      <w:tr w14:paraId="0A2E2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8" w:type="dxa"/>
          <w:trHeight w:val="808" w:hRule="atLeast"/>
        </w:trPr>
        <w:tc>
          <w:tcPr>
            <w:tcW w:w="814" w:type="dxa"/>
            <w:vMerge w:val="continue"/>
            <w:tcBorders>
              <w:top w:val="single" w:color="auto" w:sz="4" w:space="0"/>
              <w:left w:val="single" w:color="auto" w:sz="4" w:space="0"/>
              <w:bottom w:val="single" w:color="auto" w:sz="4" w:space="0"/>
              <w:right w:val="single" w:color="auto" w:sz="4" w:space="0"/>
            </w:tcBorders>
            <w:vAlign w:val="center"/>
          </w:tcPr>
          <w:p w14:paraId="52E75F8A">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358" w:type="dxa"/>
            <w:vMerge w:val="continue"/>
            <w:tcBorders>
              <w:top w:val="single" w:color="auto" w:sz="4" w:space="0"/>
              <w:left w:val="single" w:color="auto" w:sz="4" w:space="0"/>
              <w:bottom w:val="single" w:color="auto" w:sz="4" w:space="0"/>
              <w:right w:val="single" w:color="auto" w:sz="4" w:space="0"/>
            </w:tcBorders>
            <w:vAlign w:val="center"/>
          </w:tcPr>
          <w:p w14:paraId="51FA74D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textAlignment w:val="auto"/>
              <w:rPr>
                <w:rFonts w:hint="default" w:ascii="Times New Roman" w:hAnsi="Times New Roman" w:eastAsia="方正仿宋_GBK" w:cs="Times New Roman"/>
                <w:b w:val="0"/>
                <w:color w:val="auto"/>
                <w:kern w:val="2"/>
                <w:sz w:val="21"/>
                <w:szCs w:val="21"/>
                <w:highlight w:val="none"/>
                <w:lang w:val="zh-CN" w:eastAsia="zh-CN" w:bidi="ar-SA"/>
              </w:rPr>
            </w:pPr>
          </w:p>
        </w:tc>
        <w:tc>
          <w:tcPr>
            <w:tcW w:w="2055" w:type="dxa"/>
            <w:tcBorders>
              <w:top w:val="single" w:color="auto" w:sz="4" w:space="0"/>
              <w:left w:val="single" w:color="auto" w:sz="4" w:space="0"/>
              <w:bottom w:val="single" w:color="auto" w:sz="4" w:space="0"/>
              <w:right w:val="single" w:color="auto" w:sz="4" w:space="0"/>
            </w:tcBorders>
            <w:vAlign w:val="center"/>
          </w:tcPr>
          <w:p w14:paraId="0261BFBC">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采购有效期</w:t>
            </w:r>
          </w:p>
        </w:tc>
        <w:tc>
          <w:tcPr>
            <w:tcW w:w="5049" w:type="dxa"/>
            <w:gridSpan w:val="2"/>
            <w:tcBorders>
              <w:top w:val="single" w:color="auto" w:sz="4" w:space="0"/>
              <w:left w:val="single" w:color="auto" w:sz="4" w:space="0"/>
              <w:bottom w:val="single" w:color="auto" w:sz="4" w:space="0"/>
              <w:right w:val="single" w:color="auto" w:sz="4" w:space="0"/>
            </w:tcBorders>
            <w:vAlign w:val="center"/>
          </w:tcPr>
          <w:p w14:paraId="63710F97">
            <w:pPr>
              <w:keepNext w:val="0"/>
              <w:keepLines w:val="0"/>
              <w:pageBreakBefore w:val="0"/>
              <w:widowControl w:val="0"/>
              <w:kinsoku/>
              <w:wordWrap/>
              <w:overflowPunct/>
              <w:topLinePunct w:val="0"/>
              <w:autoSpaceDE/>
              <w:autoSpaceDN/>
              <w:bidi w:val="0"/>
              <w:adjustRightInd/>
              <w:snapToGrid w:val="0"/>
              <w:spacing w:line="240" w:lineRule="auto"/>
              <w:ind w:firstLine="0"/>
              <w:textAlignment w:val="auto"/>
              <w:rPr>
                <w:rFonts w:hint="default" w:ascii="Times New Roman" w:hAnsi="Times New Roman" w:eastAsia="方正仿宋_GBK" w:cs="Times New Roman"/>
                <w:b w:val="0"/>
                <w:color w:val="auto"/>
                <w:kern w:val="2"/>
                <w:sz w:val="21"/>
                <w:szCs w:val="21"/>
                <w:highlight w:val="none"/>
                <w:lang w:val="zh-CN" w:eastAsia="zh-CN" w:bidi="ar-SA"/>
              </w:rPr>
            </w:pPr>
            <w:r>
              <w:rPr>
                <w:rFonts w:hint="default" w:ascii="Times New Roman" w:hAnsi="Times New Roman" w:eastAsia="方正仿宋_GBK" w:cs="Times New Roman"/>
                <w:b w:val="0"/>
                <w:color w:val="auto"/>
                <w:kern w:val="2"/>
                <w:sz w:val="21"/>
                <w:szCs w:val="21"/>
                <w:highlight w:val="none"/>
                <w:lang w:val="zh-CN" w:eastAsia="zh-CN" w:bidi="ar-SA"/>
              </w:rPr>
              <w:t>响应文件及有关承诺文件有效期为提交响应文件截止时间起90天。</w:t>
            </w:r>
          </w:p>
        </w:tc>
      </w:tr>
    </w:tbl>
    <w:p w14:paraId="57FD84DD">
      <w:pPr>
        <w:pStyle w:val="14"/>
        <w:bidi w:val="0"/>
        <w:rPr>
          <w:rFonts w:hint="default" w:ascii="Times New Roman" w:hAnsi="Times New Roman" w:cs="Times New Roman"/>
          <w:color w:val="auto"/>
        </w:rPr>
      </w:pPr>
      <w:r>
        <w:rPr>
          <w:rFonts w:hint="default" w:ascii="Times New Roman" w:hAnsi="Times New Roman" w:cs="Times New Roman"/>
          <w:color w:val="auto"/>
        </w:rPr>
        <w:t>（三）澄清有关问题。</w:t>
      </w:r>
      <w:r>
        <w:rPr>
          <w:rFonts w:hint="default" w:ascii="Times New Roman" w:hAnsi="Times New Roman" w:cs="Times New Roman"/>
          <w:color w:val="auto"/>
          <w:lang w:eastAsia="zh-CN"/>
        </w:rPr>
        <w:t>磋商</w:t>
      </w:r>
      <w:r>
        <w:rPr>
          <w:rFonts w:hint="default" w:ascii="Times New Roman" w:hAnsi="Times New Roman" w:cs="Times New Roman"/>
          <w:color w:val="auto"/>
        </w:rPr>
        <w:t>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1212100">
      <w:pPr>
        <w:pStyle w:val="14"/>
        <w:bidi w:val="0"/>
        <w:rPr>
          <w:rFonts w:hint="default" w:ascii="Times New Roman" w:hAnsi="Times New Roman" w:cs="Times New Roman"/>
          <w:color w:val="auto"/>
        </w:rPr>
      </w:pPr>
      <w:r>
        <w:rPr>
          <w:rFonts w:hint="default" w:ascii="Times New Roman" w:hAnsi="Times New Roman" w:cs="Times New Roman"/>
          <w:color w:val="auto"/>
        </w:rPr>
        <w:t>（四）</w:t>
      </w:r>
      <w:r>
        <w:rPr>
          <w:rFonts w:hint="default" w:ascii="Times New Roman" w:hAnsi="Times New Roman" w:cs="Times New Roman"/>
          <w:color w:val="auto"/>
          <w:lang w:eastAsia="zh-CN"/>
        </w:rPr>
        <w:t>磋商</w:t>
      </w:r>
      <w:r>
        <w:rPr>
          <w:rFonts w:hint="default" w:ascii="Times New Roman" w:hAnsi="Times New Roman" w:cs="Times New Roman"/>
          <w:color w:val="auto"/>
        </w:rPr>
        <w:t>小组要求供应商澄清、说明或者更正响应文件应当以书面形式作出。供应商的澄清、说明或者更正应当由法定代表人或其授权代表签字或者加盖公章。由授权代表签字的，应当附法定代表人授权书。</w:t>
      </w:r>
    </w:p>
    <w:p w14:paraId="0BBDF330">
      <w:pPr>
        <w:pStyle w:val="14"/>
        <w:bidi w:val="0"/>
        <w:rPr>
          <w:rFonts w:hint="default" w:ascii="Times New Roman" w:hAnsi="Times New Roman" w:cs="Times New Roman"/>
          <w:color w:val="auto"/>
        </w:rPr>
      </w:pPr>
      <w:r>
        <w:rPr>
          <w:rFonts w:hint="default" w:ascii="Times New Roman" w:hAnsi="Times New Roman" w:cs="Times New Roman"/>
          <w:color w:val="auto"/>
        </w:rPr>
        <w:t>（五）</w:t>
      </w:r>
      <w:r>
        <w:rPr>
          <w:rFonts w:hint="default" w:ascii="Times New Roman" w:hAnsi="Times New Roman" w:cs="Times New Roman"/>
          <w:color w:val="auto"/>
          <w:lang w:eastAsia="zh-CN"/>
        </w:rPr>
        <w:t>磋商</w:t>
      </w:r>
      <w:r>
        <w:rPr>
          <w:rFonts w:hint="default" w:ascii="Times New Roman" w:hAnsi="Times New Roman" w:cs="Times New Roman"/>
          <w:color w:val="auto"/>
        </w:rPr>
        <w:t>小组采用综合评分法对供应商的响应文件进行综合评分。综合评分法，是指响应文件满足</w:t>
      </w:r>
      <w:r>
        <w:rPr>
          <w:rFonts w:hint="default" w:ascii="Times New Roman" w:hAnsi="Times New Roman" w:cs="Times New Roman"/>
          <w:color w:val="auto"/>
          <w:lang w:eastAsia="zh-CN"/>
        </w:rPr>
        <w:t>采购</w:t>
      </w:r>
      <w:r>
        <w:rPr>
          <w:rFonts w:hint="default" w:ascii="Times New Roman" w:hAnsi="Times New Roman" w:cs="Times New Roman"/>
          <w:color w:val="auto"/>
        </w:rPr>
        <w:t>文件全部实质性要求且按照评审因素的量化指标评审得分最高的供应商为成交候选供应商的评审方法。供应商总得分为价格、服务、商务等评定因素分别按照相应权重值计算分项得分后相加，满分为100分。</w:t>
      </w:r>
    </w:p>
    <w:p w14:paraId="3AD0179A">
      <w:pPr>
        <w:pStyle w:val="14"/>
        <w:bidi w:val="0"/>
        <w:rPr>
          <w:rFonts w:hint="default" w:ascii="Times New Roman" w:hAnsi="Times New Roman" w:cs="Times New Roman"/>
          <w:color w:val="auto"/>
        </w:rPr>
      </w:pPr>
      <w:r>
        <w:rPr>
          <w:rFonts w:hint="default" w:ascii="Times New Roman" w:hAnsi="Times New Roman" w:cs="Times New Roman"/>
          <w:color w:val="auto"/>
        </w:rPr>
        <w:t>（六）</w:t>
      </w:r>
      <w:r>
        <w:rPr>
          <w:rFonts w:hint="default" w:ascii="Times New Roman" w:hAnsi="Times New Roman" w:cs="Times New Roman"/>
          <w:color w:val="auto"/>
          <w:lang w:eastAsia="zh-CN"/>
        </w:rPr>
        <w:t>磋商</w:t>
      </w:r>
      <w:r>
        <w:rPr>
          <w:rFonts w:hint="default" w:ascii="Times New Roman" w:hAnsi="Times New Roman" w:cs="Times New Roman"/>
          <w:color w:val="auto"/>
        </w:rPr>
        <w:t>小组各成员独立对每个有效响应（通过资格审查、符合性审查的供应商）的文件进行评价、打分，然后由</w:t>
      </w:r>
      <w:r>
        <w:rPr>
          <w:rFonts w:hint="default" w:ascii="Times New Roman" w:hAnsi="Times New Roman" w:cs="Times New Roman"/>
          <w:color w:val="auto"/>
          <w:lang w:eastAsia="zh-CN"/>
        </w:rPr>
        <w:t>磋商</w:t>
      </w:r>
      <w:r>
        <w:rPr>
          <w:rFonts w:hint="default" w:ascii="Times New Roman" w:hAnsi="Times New Roman" w:cs="Times New Roman"/>
          <w:color w:val="auto"/>
        </w:rPr>
        <w:t>小组对各成员打分情况进行核查及复核，个别成员对同一供应商同一评分项的打分偏离较大的，应对供应商的</w:t>
      </w:r>
      <w:r>
        <w:rPr>
          <w:rFonts w:hint="eastAsia" w:ascii="Times New Roman" w:hAnsi="Times New Roman" w:cs="Times New Roman"/>
          <w:color w:val="auto"/>
          <w:lang w:eastAsia="zh-CN"/>
        </w:rPr>
        <w:t>响应</w:t>
      </w:r>
      <w:r>
        <w:rPr>
          <w:rFonts w:hint="default" w:ascii="Times New Roman" w:hAnsi="Times New Roman" w:cs="Times New Roman"/>
          <w:color w:val="auto"/>
        </w:rPr>
        <w:t>文件进行再次核对，确属打分有误的，应及时进行修正。复核后，</w:t>
      </w:r>
      <w:r>
        <w:rPr>
          <w:rFonts w:hint="default" w:ascii="Times New Roman" w:hAnsi="Times New Roman" w:cs="Times New Roman"/>
          <w:color w:val="auto"/>
          <w:lang w:eastAsia="zh-CN"/>
        </w:rPr>
        <w:t>磋商</w:t>
      </w:r>
      <w:r>
        <w:rPr>
          <w:rFonts w:hint="default" w:ascii="Times New Roman" w:hAnsi="Times New Roman" w:cs="Times New Roman"/>
          <w:color w:val="auto"/>
        </w:rPr>
        <w:t>小组汇总每个供应商每项评分因素的得分，并根据综合评分情况按照评审得分由高到低顺序推荐成交候选供应商，并编写评审报告。若供应商的评审得分相同的，按照投标报价由低到高的顺序排列推荐。评审得分且投标报价相同的，按照服务指标优劣顺序排列推荐。</w:t>
      </w:r>
      <w:bookmarkStart w:id="101" w:name="_Toc104806988"/>
      <w:bookmarkStart w:id="102" w:name="_Toc15278"/>
      <w:bookmarkStart w:id="103" w:name="_Toc1719"/>
    </w:p>
    <w:p w14:paraId="3B5798C1">
      <w:pPr>
        <w:pStyle w:val="15"/>
        <w:bidi w:val="0"/>
        <w:rPr>
          <w:rFonts w:hint="default" w:ascii="Times New Roman" w:hAnsi="Times New Roman" w:cs="Times New Roman"/>
          <w:color w:val="auto"/>
          <w:highlight w:val="green"/>
        </w:rPr>
      </w:pPr>
      <w:bookmarkStart w:id="104" w:name="_Toc24791"/>
      <w:bookmarkStart w:id="105" w:name="_Toc4824"/>
      <w:r>
        <w:rPr>
          <w:rFonts w:hint="default"/>
          <w:color w:val="auto"/>
        </w:rPr>
        <w:t>二、</w:t>
      </w:r>
      <w:bookmarkEnd w:id="101"/>
      <w:bookmarkEnd w:id="104"/>
      <w:bookmarkEnd w:id="105"/>
      <w:r>
        <w:rPr>
          <w:rFonts w:hint="eastAsia"/>
          <w:color w:val="auto"/>
        </w:rPr>
        <w:t>评审标准</w:t>
      </w:r>
    </w:p>
    <w:tbl>
      <w:tblPr>
        <w:tblStyle w:val="10"/>
        <w:tblW w:w="97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9"/>
        <w:gridCol w:w="1027"/>
        <w:gridCol w:w="1259"/>
        <w:gridCol w:w="855"/>
        <w:gridCol w:w="4410"/>
        <w:gridCol w:w="1668"/>
      </w:tblGrid>
      <w:tr w14:paraId="63367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499" w:type="dxa"/>
            <w:vAlign w:val="center"/>
          </w:tcPr>
          <w:p w14:paraId="1E47EFC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黑体_GBK" w:cs="Times New Roman"/>
                <w:b w:val="0"/>
                <w:bCs w:val="0"/>
                <w:color w:val="auto"/>
                <w:kern w:val="2"/>
                <w:sz w:val="21"/>
                <w:szCs w:val="21"/>
                <w:highlight w:val="none"/>
                <w:lang w:val="en-US" w:eastAsia="zh-CN" w:bidi="ar-SA"/>
              </w:rPr>
            </w:pPr>
            <w:bookmarkStart w:id="106" w:name="_Toc13339"/>
            <w:bookmarkStart w:id="107" w:name="_Toc4474"/>
            <w:r>
              <w:rPr>
                <w:rFonts w:hint="default" w:ascii="Times New Roman" w:hAnsi="Times New Roman" w:eastAsia="方正黑体_GBK" w:cs="Times New Roman"/>
                <w:b w:val="0"/>
                <w:bCs w:val="0"/>
                <w:color w:val="auto"/>
                <w:kern w:val="2"/>
                <w:sz w:val="21"/>
                <w:szCs w:val="21"/>
                <w:highlight w:val="none"/>
                <w:lang w:val="en-US" w:eastAsia="zh-CN" w:bidi="ar-SA"/>
              </w:rPr>
              <w:t>序号</w:t>
            </w:r>
          </w:p>
        </w:tc>
        <w:tc>
          <w:tcPr>
            <w:tcW w:w="2286" w:type="dxa"/>
            <w:gridSpan w:val="2"/>
            <w:vAlign w:val="center"/>
          </w:tcPr>
          <w:p w14:paraId="145A9092">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黑体_GBK" w:cs="Times New Roman"/>
                <w:b w:val="0"/>
                <w:bCs w:val="0"/>
                <w:color w:val="auto"/>
                <w:kern w:val="2"/>
                <w:sz w:val="21"/>
                <w:szCs w:val="21"/>
                <w:highlight w:val="none"/>
                <w:lang w:val="en-US" w:eastAsia="zh-CN" w:bidi="ar-SA"/>
              </w:rPr>
            </w:pPr>
            <w:r>
              <w:rPr>
                <w:rFonts w:hint="default" w:ascii="Times New Roman" w:hAnsi="Times New Roman" w:eastAsia="方正黑体_GBK" w:cs="Times New Roman"/>
                <w:b w:val="0"/>
                <w:bCs w:val="0"/>
                <w:color w:val="auto"/>
                <w:kern w:val="2"/>
                <w:sz w:val="21"/>
                <w:szCs w:val="21"/>
                <w:highlight w:val="none"/>
                <w:lang w:val="en-US" w:eastAsia="zh-CN" w:bidi="ar-SA"/>
              </w:rPr>
              <w:t>评分因素及权重</w:t>
            </w:r>
          </w:p>
        </w:tc>
        <w:tc>
          <w:tcPr>
            <w:tcW w:w="855" w:type="dxa"/>
            <w:vAlign w:val="center"/>
          </w:tcPr>
          <w:p w14:paraId="2A0652F3">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黑体_GBK" w:cs="Times New Roman"/>
                <w:b w:val="0"/>
                <w:bCs w:val="0"/>
                <w:color w:val="auto"/>
                <w:kern w:val="2"/>
                <w:sz w:val="21"/>
                <w:szCs w:val="21"/>
                <w:highlight w:val="none"/>
                <w:lang w:val="en-US" w:eastAsia="zh-CN" w:bidi="ar-SA"/>
              </w:rPr>
            </w:pPr>
            <w:r>
              <w:rPr>
                <w:rFonts w:hint="default" w:ascii="Times New Roman" w:hAnsi="Times New Roman" w:eastAsia="方正黑体_GBK" w:cs="Times New Roman"/>
                <w:b w:val="0"/>
                <w:bCs w:val="0"/>
                <w:color w:val="auto"/>
                <w:kern w:val="2"/>
                <w:sz w:val="21"/>
                <w:szCs w:val="21"/>
                <w:highlight w:val="none"/>
                <w:lang w:val="en-US" w:eastAsia="zh-CN" w:bidi="ar-SA"/>
              </w:rPr>
              <w:t>分值</w:t>
            </w:r>
          </w:p>
        </w:tc>
        <w:tc>
          <w:tcPr>
            <w:tcW w:w="4410" w:type="dxa"/>
            <w:vAlign w:val="center"/>
          </w:tcPr>
          <w:p w14:paraId="5B13D82D">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黑体_GBK" w:cs="Times New Roman"/>
                <w:b w:val="0"/>
                <w:bCs w:val="0"/>
                <w:color w:val="auto"/>
                <w:kern w:val="2"/>
                <w:sz w:val="21"/>
                <w:szCs w:val="21"/>
                <w:highlight w:val="none"/>
                <w:lang w:val="en-US" w:eastAsia="zh-CN" w:bidi="ar-SA"/>
              </w:rPr>
            </w:pPr>
            <w:r>
              <w:rPr>
                <w:rFonts w:hint="default" w:ascii="Times New Roman" w:hAnsi="Times New Roman" w:eastAsia="方正黑体_GBK" w:cs="Times New Roman"/>
                <w:b w:val="0"/>
                <w:bCs w:val="0"/>
                <w:color w:val="auto"/>
                <w:kern w:val="2"/>
                <w:sz w:val="21"/>
                <w:szCs w:val="21"/>
                <w:highlight w:val="none"/>
                <w:lang w:val="en-US" w:eastAsia="zh-CN" w:bidi="ar-SA"/>
              </w:rPr>
              <w:t>评分标准</w:t>
            </w:r>
          </w:p>
        </w:tc>
        <w:tc>
          <w:tcPr>
            <w:tcW w:w="1668" w:type="dxa"/>
            <w:vAlign w:val="center"/>
          </w:tcPr>
          <w:p w14:paraId="75BAFC36">
            <w:pPr>
              <w:keepNext w:val="0"/>
              <w:keepLines w:val="0"/>
              <w:pageBreakBefore w:val="0"/>
              <w:widowControl/>
              <w:kinsoku/>
              <w:wordWrap/>
              <w:overflowPunct/>
              <w:topLinePunct w:val="0"/>
              <w:autoSpaceDE/>
              <w:autoSpaceDN/>
              <w:bidi w:val="0"/>
              <w:adjustRightInd/>
              <w:snapToGrid/>
              <w:spacing w:line="280" w:lineRule="exact"/>
              <w:ind w:firstLine="0" w:firstLineChars="0"/>
              <w:jc w:val="center"/>
              <w:textAlignment w:val="auto"/>
              <w:rPr>
                <w:rFonts w:hint="default" w:ascii="Times New Roman" w:hAnsi="Times New Roman" w:eastAsia="方正黑体_GBK" w:cs="Times New Roman"/>
                <w:b w:val="0"/>
                <w:bCs w:val="0"/>
                <w:color w:val="auto"/>
                <w:kern w:val="2"/>
                <w:sz w:val="21"/>
                <w:szCs w:val="21"/>
                <w:highlight w:val="none"/>
                <w:lang w:val="en-US" w:eastAsia="zh-CN" w:bidi="ar-SA"/>
              </w:rPr>
            </w:pPr>
            <w:r>
              <w:rPr>
                <w:rFonts w:hint="default" w:ascii="Times New Roman" w:hAnsi="Times New Roman" w:eastAsia="方正黑体_GBK" w:cs="Times New Roman"/>
                <w:b w:val="0"/>
                <w:bCs w:val="0"/>
                <w:color w:val="auto"/>
                <w:kern w:val="2"/>
                <w:sz w:val="21"/>
                <w:szCs w:val="21"/>
                <w:highlight w:val="none"/>
                <w:lang w:val="en-US" w:eastAsia="zh-CN" w:bidi="ar-SA"/>
              </w:rPr>
              <w:t>说明</w:t>
            </w:r>
          </w:p>
        </w:tc>
      </w:tr>
      <w:tr w14:paraId="38D6C3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0" w:hRule="atLeast"/>
          <w:jc w:val="center"/>
        </w:trPr>
        <w:tc>
          <w:tcPr>
            <w:tcW w:w="499" w:type="dxa"/>
            <w:vAlign w:val="center"/>
          </w:tcPr>
          <w:p w14:paraId="4BF2E60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1</w:t>
            </w:r>
          </w:p>
        </w:tc>
        <w:tc>
          <w:tcPr>
            <w:tcW w:w="1027" w:type="dxa"/>
            <w:vAlign w:val="center"/>
          </w:tcPr>
          <w:p w14:paraId="40AD3B4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color w:val="auto"/>
                <w:kern w:val="0"/>
                <w:sz w:val="21"/>
                <w:szCs w:val="21"/>
                <w:highlight w:val="none"/>
                <w:lang w:eastAsia="zh-CN"/>
              </w:rPr>
              <w:t>报价（</w:t>
            </w:r>
            <w:r>
              <w:rPr>
                <w:rFonts w:hint="default" w:ascii="Times New Roman" w:hAnsi="Times New Roman" w:eastAsia="方正仿宋_GBK" w:cs="Times New Roman"/>
                <w:color w:val="auto"/>
                <w:kern w:val="0"/>
                <w:sz w:val="21"/>
                <w:szCs w:val="21"/>
                <w:highlight w:val="none"/>
                <w:lang w:val="en-US" w:eastAsia="zh-CN"/>
              </w:rPr>
              <w:t>50%</w:t>
            </w:r>
            <w:r>
              <w:rPr>
                <w:rFonts w:hint="default" w:ascii="Times New Roman" w:hAnsi="Times New Roman" w:eastAsia="方正仿宋_GBK" w:cs="Times New Roman"/>
                <w:color w:val="auto"/>
                <w:kern w:val="0"/>
                <w:sz w:val="21"/>
                <w:szCs w:val="21"/>
                <w:highlight w:val="none"/>
                <w:lang w:eastAsia="zh-CN"/>
              </w:rPr>
              <w:t>）</w:t>
            </w:r>
          </w:p>
        </w:tc>
        <w:tc>
          <w:tcPr>
            <w:tcW w:w="1259" w:type="dxa"/>
            <w:vAlign w:val="center"/>
          </w:tcPr>
          <w:p w14:paraId="44205CE0">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陪护收费报价（50%）</w:t>
            </w:r>
          </w:p>
        </w:tc>
        <w:tc>
          <w:tcPr>
            <w:tcW w:w="855" w:type="dxa"/>
            <w:vAlign w:val="center"/>
          </w:tcPr>
          <w:p w14:paraId="1898233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50分</w:t>
            </w:r>
          </w:p>
        </w:tc>
        <w:tc>
          <w:tcPr>
            <w:tcW w:w="4410" w:type="dxa"/>
            <w:vAlign w:val="center"/>
          </w:tcPr>
          <w:p w14:paraId="655FE5C0">
            <w:pPr>
              <w:spacing w:line="240" w:lineRule="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陪护服务价格以一对一≤200元/天、一对二陪护≤156元/人/天（患者数不超过2人）、一对三陪护≤135元/人/天（患者数不超过3人），一对多陪护（患者数不超过5人，含无陪护病房）≤11</w:t>
            </w:r>
            <w:r>
              <w:rPr>
                <w:rFonts w:hint="eastAsia" w:eastAsia="方正仿宋_GBK" w:cs="Times New Roman"/>
                <w:b w:val="0"/>
                <w:color w:val="auto"/>
                <w:kern w:val="2"/>
                <w:sz w:val="21"/>
                <w:szCs w:val="21"/>
                <w:highlight w:val="none"/>
                <w:lang w:val="en-US" w:eastAsia="zh-CN" w:bidi="ar-SA"/>
              </w:rPr>
              <w:t>2</w:t>
            </w:r>
            <w:r>
              <w:rPr>
                <w:rFonts w:hint="default" w:ascii="Times New Roman" w:hAnsi="Times New Roman" w:eastAsia="方正仿宋_GBK" w:cs="Times New Roman"/>
                <w:b w:val="0"/>
                <w:color w:val="auto"/>
                <w:kern w:val="2"/>
                <w:sz w:val="21"/>
                <w:szCs w:val="21"/>
                <w:highlight w:val="none"/>
                <w:lang w:val="en-US" w:eastAsia="zh-CN" w:bidi="ar-SA"/>
              </w:rPr>
              <w:t>元/人/天为基准价。母婴陪护≤400元/人/天（一对一）。同比例下浮，每单项下浮1%得1分，每单项最多不超过10分。（投标报价得分四舍五入，保留小数点后二位，最后实施价格按四舍五入整数计价，不保留小数。注：高于基准价为无效报价不得分。</w:t>
            </w:r>
          </w:p>
        </w:tc>
        <w:tc>
          <w:tcPr>
            <w:tcW w:w="1668" w:type="dxa"/>
            <w:vAlign w:val="center"/>
          </w:tcPr>
          <w:p w14:paraId="1319B3D2">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高于基准价为无效报价。</w:t>
            </w:r>
          </w:p>
        </w:tc>
      </w:tr>
      <w:tr w14:paraId="12CA8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499" w:type="dxa"/>
            <w:vMerge w:val="restart"/>
            <w:vAlign w:val="center"/>
          </w:tcPr>
          <w:p w14:paraId="2B0B511C">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方正仿宋_GBK" w:cs="Times New Roman"/>
                <w:color w:val="auto"/>
                <w:sz w:val="21"/>
                <w:szCs w:val="21"/>
                <w:highlight w:val="none"/>
                <w:lang w:val="en-US" w:eastAsia="zh-CN"/>
              </w:rPr>
            </w:pPr>
            <w:r>
              <w:rPr>
                <w:rFonts w:hint="default" w:ascii="Times New Roman" w:hAnsi="Times New Roman" w:eastAsia="方正仿宋_GBK" w:cs="Times New Roman"/>
                <w:color w:val="auto"/>
                <w:sz w:val="21"/>
                <w:szCs w:val="21"/>
                <w:highlight w:val="none"/>
                <w:lang w:val="en-US" w:eastAsia="zh-CN"/>
              </w:rPr>
              <w:t>2</w:t>
            </w:r>
          </w:p>
        </w:tc>
        <w:tc>
          <w:tcPr>
            <w:tcW w:w="1027" w:type="dxa"/>
            <w:vMerge w:val="restart"/>
            <w:vAlign w:val="center"/>
          </w:tcPr>
          <w:p w14:paraId="28F24B6D">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方正仿宋_GBK" w:cs="Times New Roman"/>
                <w:color w:val="auto"/>
                <w:sz w:val="21"/>
                <w:szCs w:val="21"/>
                <w:highlight w:val="none"/>
              </w:rPr>
            </w:pPr>
            <w:r>
              <w:rPr>
                <w:rFonts w:hint="default" w:ascii="Times New Roman" w:hAnsi="Times New Roman" w:eastAsia="方正仿宋_GBK" w:cs="Times New Roman"/>
                <w:b w:val="0"/>
                <w:color w:val="auto"/>
                <w:kern w:val="2"/>
                <w:sz w:val="21"/>
                <w:szCs w:val="21"/>
                <w:highlight w:val="none"/>
                <w:lang w:val="en-US" w:eastAsia="zh-CN" w:bidi="ar-SA"/>
              </w:rPr>
              <w:t>技术部分（35%）</w:t>
            </w:r>
          </w:p>
        </w:tc>
        <w:tc>
          <w:tcPr>
            <w:tcW w:w="1259" w:type="dxa"/>
            <w:vAlign w:val="center"/>
          </w:tcPr>
          <w:p w14:paraId="1473FC3A">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项目管理能力（8%）</w:t>
            </w:r>
          </w:p>
        </w:tc>
        <w:tc>
          <w:tcPr>
            <w:tcW w:w="855" w:type="dxa"/>
            <w:vAlign w:val="center"/>
          </w:tcPr>
          <w:p w14:paraId="6F36D64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8分</w:t>
            </w:r>
          </w:p>
        </w:tc>
        <w:tc>
          <w:tcPr>
            <w:tcW w:w="4410" w:type="dxa"/>
            <w:vAlign w:val="center"/>
          </w:tcPr>
          <w:p w14:paraId="3DEA42D1">
            <w:pPr>
              <w:spacing w:line="240" w:lineRule="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根据供应商提供的项目管理机构运作及管理制度进行评分，方案应至少包含以下内容：1.本项目管理机构组织架构及管理制度；2.本项目护工管理制度；3.本项目管理质量标准和考核办法；4.本项目投诉处理办法等；方案完整包含以上要素得8分；每缺一项（共4项）扣2分，所提供的实施方案中每有一处具有缺陷（缺陷是指：存在不适用项目实际情况及技术、服务要求无关的情形、凭空编造、内容前后不一致及不可能实现的夸大情形等、前后逻辑错误、涉及的规范及标准错误等）的扣2分，扣完为止，未提供得0分。</w:t>
            </w:r>
          </w:p>
        </w:tc>
        <w:tc>
          <w:tcPr>
            <w:tcW w:w="1668" w:type="dxa"/>
            <w:vMerge w:val="restart"/>
            <w:vAlign w:val="center"/>
          </w:tcPr>
          <w:p w14:paraId="0F977E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r>
      <w:tr w14:paraId="01B98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8" w:hRule="atLeast"/>
          <w:jc w:val="center"/>
        </w:trPr>
        <w:tc>
          <w:tcPr>
            <w:tcW w:w="499" w:type="dxa"/>
            <w:vMerge w:val="continue"/>
            <w:vAlign w:val="center"/>
          </w:tcPr>
          <w:p w14:paraId="4BA3ECD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027" w:type="dxa"/>
            <w:vMerge w:val="continue"/>
            <w:vAlign w:val="center"/>
          </w:tcPr>
          <w:p w14:paraId="12E140A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259" w:type="dxa"/>
            <w:vAlign w:val="center"/>
          </w:tcPr>
          <w:p w14:paraId="40ACC476">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陪护服务方案（8%）</w:t>
            </w:r>
          </w:p>
        </w:tc>
        <w:tc>
          <w:tcPr>
            <w:tcW w:w="855" w:type="dxa"/>
            <w:vAlign w:val="center"/>
          </w:tcPr>
          <w:p w14:paraId="705601D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8分</w:t>
            </w:r>
          </w:p>
        </w:tc>
        <w:tc>
          <w:tcPr>
            <w:tcW w:w="4410" w:type="dxa"/>
            <w:vAlign w:val="center"/>
          </w:tcPr>
          <w:p w14:paraId="0C78AB61">
            <w:pPr>
              <w:spacing w:line="240" w:lineRule="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根据供应商提供的陪护服务方案具体内容进行评分，方案应至少包含以下内容：1.本项目陪护项目重难点问题分析及对策；2.本项目陪护方式具体方案；3.本项目黑护工的清理和杜绝；4.本项目陪护服务操作规范要求；方案完整包含以上要素得8分；每缺一项（共4项）扣2分，所提供的实施方案中每有一处具有缺陷（缺陷是指：存在不适用项目实际情况及技术、服务要求无关的情形、凭空编造、内容前后不一致及不可能实现的夸大情形等、前后逻辑错误、涉及的规范及标准错误等）的扣2分，扣完为止，未提供得0分。</w:t>
            </w:r>
          </w:p>
        </w:tc>
        <w:tc>
          <w:tcPr>
            <w:tcW w:w="1668" w:type="dxa"/>
            <w:vMerge w:val="continue"/>
            <w:vAlign w:val="center"/>
          </w:tcPr>
          <w:p w14:paraId="1876AB24">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 w:val="0"/>
                <w:color w:val="auto"/>
                <w:kern w:val="2"/>
                <w:sz w:val="21"/>
                <w:szCs w:val="21"/>
                <w:highlight w:val="none"/>
                <w:lang w:val="en-US" w:eastAsia="zh-CN" w:bidi="ar-SA"/>
              </w:rPr>
            </w:pPr>
          </w:p>
        </w:tc>
      </w:tr>
      <w:tr w14:paraId="48C2E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6" w:hRule="atLeast"/>
          <w:jc w:val="center"/>
        </w:trPr>
        <w:tc>
          <w:tcPr>
            <w:tcW w:w="499" w:type="dxa"/>
            <w:vMerge w:val="continue"/>
            <w:vAlign w:val="center"/>
          </w:tcPr>
          <w:p w14:paraId="569AC317">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027" w:type="dxa"/>
            <w:vMerge w:val="continue"/>
            <w:vAlign w:val="center"/>
          </w:tcPr>
          <w:p w14:paraId="4BE7B3AE">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259" w:type="dxa"/>
            <w:vAlign w:val="center"/>
          </w:tcPr>
          <w:p w14:paraId="538783DF">
            <w:pPr>
              <w:keepNext w:val="0"/>
              <w:keepLines w:val="0"/>
              <w:pageBreakBefore w:val="0"/>
              <w:widowControl/>
              <w:kinsoku/>
              <w:wordWrap/>
              <w:overflowPunct/>
              <w:topLinePunct w:val="0"/>
              <w:autoSpaceDE/>
              <w:autoSpaceDN/>
              <w:bidi w:val="0"/>
              <w:adjustRightInd/>
              <w:snapToGrid/>
              <w:spacing w:line="240" w:lineRule="auto"/>
              <w:ind w:left="0" w:leftChars="0" w:firstLine="0" w:firstLineChars="0"/>
              <w:jc w:val="left"/>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项目应急处理预案（10%）</w:t>
            </w:r>
          </w:p>
        </w:tc>
        <w:tc>
          <w:tcPr>
            <w:tcW w:w="855" w:type="dxa"/>
            <w:vAlign w:val="center"/>
          </w:tcPr>
          <w:p w14:paraId="4ACBC426">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10分</w:t>
            </w:r>
          </w:p>
        </w:tc>
        <w:tc>
          <w:tcPr>
            <w:tcW w:w="4410" w:type="dxa"/>
            <w:vAlign w:val="center"/>
          </w:tcPr>
          <w:p w14:paraId="5152B94B">
            <w:pPr>
              <w:spacing w:line="240" w:lineRule="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根据供应商提供的项目应急处理预案进行评分，方案应至少包含以下内容：1.本项目突发事件应急处理预案；2.本项目意外伤害事件的应急预案；3.本项目治安类事件处置预案；4.本项目节假日、重大活动及迎检应急预案；5.本项目安全保障方案。方案完整包含以上要素得10分，每缺一项（共5项）扣2分，所提供的实施方案中每有一处具有缺陷（缺陷是指：存在不适用项目实际情况及技术、服务要求无关的情形、凭空编造、内容前后不一致及不可能实现的夸大情形等、前后逻辑错误、涉及的规范及标准错误等）的扣2分，扣完为止，未提供得0分。</w:t>
            </w:r>
          </w:p>
        </w:tc>
        <w:tc>
          <w:tcPr>
            <w:tcW w:w="1668" w:type="dxa"/>
            <w:vMerge w:val="continue"/>
            <w:vAlign w:val="center"/>
          </w:tcPr>
          <w:p w14:paraId="5BB056BE">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 w:val="0"/>
                <w:color w:val="auto"/>
                <w:kern w:val="2"/>
                <w:sz w:val="21"/>
                <w:szCs w:val="21"/>
                <w:highlight w:val="none"/>
                <w:lang w:val="en-US" w:eastAsia="zh-CN" w:bidi="ar-SA"/>
              </w:rPr>
            </w:pPr>
          </w:p>
        </w:tc>
      </w:tr>
      <w:tr w14:paraId="120C8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jc w:val="center"/>
        </w:trPr>
        <w:tc>
          <w:tcPr>
            <w:tcW w:w="499" w:type="dxa"/>
            <w:vMerge w:val="continue"/>
            <w:vAlign w:val="center"/>
          </w:tcPr>
          <w:p w14:paraId="1108260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027" w:type="dxa"/>
            <w:vMerge w:val="continue"/>
            <w:vAlign w:val="center"/>
          </w:tcPr>
          <w:p w14:paraId="53F564F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259" w:type="dxa"/>
            <w:vAlign w:val="center"/>
          </w:tcPr>
          <w:p w14:paraId="0BB85703">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color w:val="auto"/>
                <w:sz w:val="21"/>
                <w:szCs w:val="21"/>
                <w:highlight w:val="none"/>
                <w:lang w:eastAsia="zh-CN" w:bidi="zh-CN"/>
              </w:rPr>
              <w:t>陪护人员技能服务方案及项目入驻方案、项目售后方案</w:t>
            </w:r>
            <w:r>
              <w:rPr>
                <w:rFonts w:hint="default" w:ascii="Times New Roman" w:hAnsi="Times New Roman" w:eastAsia="方正仿宋_GBK" w:cs="Times New Roman"/>
                <w:b w:val="0"/>
                <w:color w:val="auto"/>
                <w:kern w:val="2"/>
                <w:sz w:val="21"/>
                <w:szCs w:val="21"/>
                <w:highlight w:val="none"/>
                <w:lang w:val="en-US" w:eastAsia="zh-CN" w:bidi="ar-SA"/>
              </w:rPr>
              <w:t>（9%）</w:t>
            </w:r>
          </w:p>
        </w:tc>
        <w:tc>
          <w:tcPr>
            <w:tcW w:w="855" w:type="dxa"/>
            <w:vAlign w:val="center"/>
          </w:tcPr>
          <w:p w14:paraId="0886C83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9分</w:t>
            </w:r>
          </w:p>
        </w:tc>
        <w:tc>
          <w:tcPr>
            <w:tcW w:w="4410" w:type="dxa"/>
            <w:vAlign w:val="center"/>
          </w:tcPr>
          <w:p w14:paraId="467B6173">
            <w:pPr>
              <w:spacing w:line="240" w:lineRule="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根据供应商提供的服务陪护人员技能服务方案及项目入驻方案、项目售后方案进行评分，方案应至少包含以下内容：1.培训计划及标准（2分）；2.培训考核（2分）；3项目入驻方案（2分）；4项目售后方案（3分）；方案完整包含以上要素得9分；每缺一项按照对应项目扣分，所提供的实施方案中每有一处具有缺陷（缺陷是指：存在不适用项目实际情况及技术、服务要求无关的情形、凭空编造、内容前后不一致及不可能实现的夸大情形等、前后逻辑错误、涉及的规范及标准错误等）的按照对应项目扣2分，扣完为止，未提供得0分。</w:t>
            </w:r>
          </w:p>
        </w:tc>
        <w:tc>
          <w:tcPr>
            <w:tcW w:w="1668" w:type="dxa"/>
            <w:vMerge w:val="continue"/>
            <w:vAlign w:val="center"/>
          </w:tcPr>
          <w:p w14:paraId="1E3B7DEB">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 w:val="0"/>
                <w:color w:val="auto"/>
                <w:kern w:val="2"/>
                <w:sz w:val="21"/>
                <w:szCs w:val="21"/>
                <w:highlight w:val="none"/>
                <w:lang w:val="en-US" w:eastAsia="zh-CN" w:bidi="ar-SA"/>
              </w:rPr>
            </w:pPr>
          </w:p>
        </w:tc>
      </w:tr>
      <w:tr w14:paraId="1C70F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8" w:hRule="atLeast"/>
          <w:jc w:val="center"/>
        </w:trPr>
        <w:tc>
          <w:tcPr>
            <w:tcW w:w="499" w:type="dxa"/>
            <w:vMerge w:val="restart"/>
            <w:vAlign w:val="center"/>
          </w:tcPr>
          <w:p w14:paraId="0557720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3</w:t>
            </w:r>
          </w:p>
        </w:tc>
        <w:tc>
          <w:tcPr>
            <w:tcW w:w="1027" w:type="dxa"/>
            <w:vMerge w:val="restart"/>
            <w:vAlign w:val="center"/>
          </w:tcPr>
          <w:p w14:paraId="5803B2E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商务部分15%</w:t>
            </w:r>
          </w:p>
        </w:tc>
        <w:tc>
          <w:tcPr>
            <w:tcW w:w="1259" w:type="dxa"/>
            <w:vAlign w:val="center"/>
          </w:tcPr>
          <w:p w14:paraId="4F05DD3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项目管理人员配置（2%）</w:t>
            </w:r>
          </w:p>
        </w:tc>
        <w:tc>
          <w:tcPr>
            <w:tcW w:w="855" w:type="dxa"/>
            <w:vAlign w:val="center"/>
          </w:tcPr>
          <w:p w14:paraId="3E75760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2分</w:t>
            </w:r>
          </w:p>
        </w:tc>
        <w:tc>
          <w:tcPr>
            <w:tcW w:w="4410" w:type="dxa"/>
            <w:vAlign w:val="center"/>
          </w:tcPr>
          <w:p w14:paraId="7C6EED84">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供应商拟配备本项目负责人，具有大专及以上学历，且具有医学、护理或管理相关专业背景有5（含）年以上相关工作经验的得2分，有2（含）-5年相关工作经验的得1分，其余不得分。</w:t>
            </w:r>
          </w:p>
        </w:tc>
        <w:tc>
          <w:tcPr>
            <w:tcW w:w="1668" w:type="dxa"/>
            <w:vAlign w:val="center"/>
          </w:tcPr>
          <w:p w14:paraId="30354C89">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提供相关人员毕业证复印件、工作经历等证明材料并加盖供应商公章。</w:t>
            </w:r>
          </w:p>
        </w:tc>
      </w:tr>
      <w:tr w14:paraId="77B34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4" w:hRule="atLeast"/>
          <w:jc w:val="center"/>
        </w:trPr>
        <w:tc>
          <w:tcPr>
            <w:tcW w:w="499" w:type="dxa"/>
            <w:vMerge w:val="continue"/>
            <w:vAlign w:val="center"/>
          </w:tcPr>
          <w:p w14:paraId="38D6F38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027" w:type="dxa"/>
            <w:vMerge w:val="continue"/>
            <w:vAlign w:val="center"/>
          </w:tcPr>
          <w:p w14:paraId="558B93F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259" w:type="dxa"/>
            <w:vMerge w:val="restart"/>
            <w:vAlign w:val="center"/>
          </w:tcPr>
          <w:p w14:paraId="7843697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公司实力（7%）</w:t>
            </w:r>
          </w:p>
        </w:tc>
        <w:tc>
          <w:tcPr>
            <w:tcW w:w="855" w:type="dxa"/>
            <w:vAlign w:val="center"/>
          </w:tcPr>
          <w:p w14:paraId="2EE90D45">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3分</w:t>
            </w:r>
          </w:p>
        </w:tc>
        <w:tc>
          <w:tcPr>
            <w:tcW w:w="4410" w:type="dxa"/>
            <w:vAlign w:val="center"/>
          </w:tcPr>
          <w:p w14:paraId="216190E4">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供应商配备法律顾问，可以解决各种纠纷的方案和赔偿能力的得3分。（提供为供应商服务的律师资格证书复印件及证明或与律师事务所签订的法务服务合同复印件并加盖供应商公章）</w:t>
            </w:r>
          </w:p>
        </w:tc>
        <w:tc>
          <w:tcPr>
            <w:tcW w:w="1668" w:type="dxa"/>
            <w:vAlign w:val="center"/>
          </w:tcPr>
          <w:p w14:paraId="5797C37F">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 w:val="0"/>
                <w:color w:val="auto"/>
                <w:kern w:val="2"/>
                <w:sz w:val="21"/>
                <w:szCs w:val="21"/>
                <w:highlight w:val="none"/>
                <w:lang w:val="en-US" w:eastAsia="zh-CN" w:bidi="ar-SA"/>
              </w:rPr>
            </w:pPr>
          </w:p>
        </w:tc>
      </w:tr>
      <w:tr w14:paraId="4D999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499" w:type="dxa"/>
            <w:vMerge w:val="continue"/>
            <w:vAlign w:val="center"/>
          </w:tcPr>
          <w:p w14:paraId="7C559D7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027" w:type="dxa"/>
            <w:vMerge w:val="continue"/>
            <w:vAlign w:val="center"/>
          </w:tcPr>
          <w:p w14:paraId="317758A2">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259" w:type="dxa"/>
            <w:vMerge w:val="continue"/>
            <w:vAlign w:val="center"/>
          </w:tcPr>
          <w:p w14:paraId="7E4898FB">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855" w:type="dxa"/>
            <w:vAlign w:val="center"/>
          </w:tcPr>
          <w:p w14:paraId="6867EB1C">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color w:val="auto"/>
                <w:sz w:val="21"/>
                <w:szCs w:val="21"/>
                <w:highlight w:val="none"/>
                <w:lang w:val="en-US" w:eastAsia="zh-CN" w:bidi="zh-CN"/>
              </w:rPr>
            </w:pPr>
            <w:r>
              <w:rPr>
                <w:rFonts w:hint="default" w:ascii="Times New Roman" w:hAnsi="Times New Roman" w:eastAsia="方正仿宋_GBK" w:cs="Times New Roman"/>
                <w:color w:val="auto"/>
                <w:sz w:val="21"/>
                <w:szCs w:val="21"/>
                <w:highlight w:val="none"/>
                <w:lang w:val="en-US" w:eastAsia="zh-CN" w:bidi="zh-CN"/>
              </w:rPr>
              <w:t>2分</w:t>
            </w:r>
          </w:p>
        </w:tc>
        <w:tc>
          <w:tcPr>
            <w:tcW w:w="4410" w:type="dxa"/>
            <w:vAlign w:val="center"/>
          </w:tcPr>
          <w:p w14:paraId="20BFE9C9">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color w:val="auto"/>
                <w:sz w:val="21"/>
                <w:szCs w:val="21"/>
                <w:highlight w:val="none"/>
                <w:lang w:val="en-US" w:eastAsia="zh-CN" w:bidi="zh-CN"/>
              </w:rPr>
            </w:pPr>
            <w:r>
              <w:rPr>
                <w:rFonts w:hint="default" w:ascii="Times New Roman" w:hAnsi="Times New Roman" w:eastAsia="方正仿宋_GBK" w:cs="Times New Roman"/>
                <w:color w:val="auto"/>
                <w:sz w:val="21"/>
                <w:szCs w:val="21"/>
                <w:highlight w:val="none"/>
                <w:lang w:val="zh-CN" w:eastAsia="zh-CN" w:bidi="zh-CN"/>
              </w:rPr>
              <w:t>持证陪护人员满足达到</w:t>
            </w:r>
            <w:r>
              <w:rPr>
                <w:rFonts w:hint="default" w:ascii="Times New Roman" w:hAnsi="Times New Roman" w:eastAsia="方正仿宋_GBK" w:cs="Times New Roman"/>
                <w:color w:val="auto"/>
                <w:sz w:val="21"/>
                <w:szCs w:val="21"/>
                <w:highlight w:val="none"/>
                <w:lang w:val="en-US" w:eastAsia="zh-CN" w:bidi="zh-CN"/>
              </w:rPr>
              <w:t>30</w:t>
            </w:r>
            <w:r>
              <w:rPr>
                <w:rFonts w:hint="default" w:ascii="Times New Roman" w:hAnsi="Times New Roman" w:eastAsia="方正仿宋_GBK" w:cs="Times New Roman"/>
                <w:color w:val="auto"/>
                <w:sz w:val="21"/>
                <w:szCs w:val="21"/>
                <w:highlight w:val="none"/>
                <w:lang w:val="zh-CN" w:eastAsia="zh-CN" w:bidi="zh-CN"/>
              </w:rPr>
              <w:t>人以上每增加</w:t>
            </w:r>
            <w:r>
              <w:rPr>
                <w:rFonts w:hint="default" w:ascii="Times New Roman" w:hAnsi="Times New Roman" w:eastAsia="方正仿宋_GBK" w:cs="Times New Roman"/>
                <w:color w:val="auto"/>
                <w:sz w:val="21"/>
                <w:szCs w:val="21"/>
                <w:highlight w:val="none"/>
                <w:lang w:val="en-US" w:eastAsia="zh-CN" w:bidi="zh-CN"/>
              </w:rPr>
              <w:t>5</w:t>
            </w:r>
            <w:r>
              <w:rPr>
                <w:rFonts w:hint="default" w:ascii="Times New Roman" w:hAnsi="Times New Roman" w:eastAsia="方正仿宋_GBK" w:cs="Times New Roman"/>
                <w:color w:val="auto"/>
                <w:sz w:val="21"/>
                <w:szCs w:val="21"/>
                <w:highlight w:val="none"/>
                <w:lang w:val="zh-CN" w:eastAsia="zh-CN" w:bidi="zh-CN"/>
              </w:rPr>
              <w:t>人加1分，本项最多得</w:t>
            </w:r>
            <w:r>
              <w:rPr>
                <w:rFonts w:hint="default" w:ascii="Times New Roman" w:hAnsi="Times New Roman" w:eastAsia="方正仿宋_GBK" w:cs="Times New Roman"/>
                <w:color w:val="auto"/>
                <w:sz w:val="21"/>
                <w:szCs w:val="21"/>
                <w:highlight w:val="none"/>
                <w:lang w:val="en-US" w:eastAsia="zh-CN" w:bidi="zh-CN"/>
              </w:rPr>
              <w:t>2</w:t>
            </w:r>
            <w:r>
              <w:rPr>
                <w:rFonts w:hint="default" w:ascii="Times New Roman" w:hAnsi="Times New Roman" w:eastAsia="方正仿宋_GBK" w:cs="Times New Roman"/>
                <w:color w:val="auto"/>
                <w:sz w:val="21"/>
                <w:szCs w:val="21"/>
                <w:highlight w:val="none"/>
                <w:lang w:val="zh-CN" w:eastAsia="zh-CN" w:bidi="zh-CN"/>
              </w:rPr>
              <w:t>分。提供陪护人员《专项职业能力证书》或《普通医疗护理员》或《病患护理员》</w:t>
            </w:r>
            <w:r>
              <w:rPr>
                <w:rFonts w:hint="default" w:ascii="Times New Roman" w:hAnsi="Times New Roman" w:eastAsia="方正仿宋_GBK" w:cs="Times New Roman"/>
                <w:color w:val="auto"/>
                <w:sz w:val="21"/>
                <w:szCs w:val="21"/>
                <w:highlight w:val="none"/>
                <w:lang w:val="en-US" w:eastAsia="zh-CN" w:bidi="zh-CN"/>
              </w:rPr>
              <w:t>或《母婴护理资格证》</w:t>
            </w:r>
            <w:r>
              <w:rPr>
                <w:rFonts w:hint="default" w:ascii="Times New Roman" w:hAnsi="Times New Roman" w:eastAsia="方正仿宋_GBK" w:cs="Times New Roman"/>
                <w:color w:val="auto"/>
                <w:sz w:val="21"/>
                <w:szCs w:val="21"/>
                <w:highlight w:val="none"/>
                <w:lang w:val="zh-CN" w:eastAsia="zh-CN" w:bidi="zh-CN"/>
              </w:rPr>
              <w:t>等护理员培训证书或资格证书复印件并加盖投标人公章予以佐证。不提供或提供资料不全不得分。</w:t>
            </w:r>
          </w:p>
        </w:tc>
        <w:tc>
          <w:tcPr>
            <w:tcW w:w="1668" w:type="dxa"/>
            <w:vMerge w:val="restart"/>
            <w:vAlign w:val="center"/>
          </w:tcPr>
          <w:p w14:paraId="582C85D4">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提供相关证明材料复印件并加盖供应商公章。</w:t>
            </w:r>
          </w:p>
        </w:tc>
      </w:tr>
      <w:tr w14:paraId="61300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499" w:type="dxa"/>
            <w:vMerge w:val="continue"/>
            <w:vAlign w:val="center"/>
          </w:tcPr>
          <w:p w14:paraId="00393B1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027" w:type="dxa"/>
            <w:vMerge w:val="continue"/>
            <w:vAlign w:val="center"/>
          </w:tcPr>
          <w:p w14:paraId="450355DF">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259" w:type="dxa"/>
            <w:vMerge w:val="continue"/>
            <w:vAlign w:val="center"/>
          </w:tcPr>
          <w:p w14:paraId="0F24B964">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855" w:type="dxa"/>
            <w:vAlign w:val="center"/>
          </w:tcPr>
          <w:p w14:paraId="653E4572">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color w:val="auto"/>
                <w:sz w:val="21"/>
                <w:szCs w:val="21"/>
                <w:highlight w:val="none"/>
                <w:lang w:val="en-US" w:eastAsia="zh-CN" w:bidi="zh-CN"/>
              </w:rPr>
            </w:pPr>
            <w:r>
              <w:rPr>
                <w:rFonts w:hint="default" w:ascii="Times New Roman" w:hAnsi="Times New Roman" w:eastAsia="方正仿宋_GBK" w:cs="Times New Roman"/>
                <w:color w:val="auto"/>
                <w:sz w:val="21"/>
                <w:szCs w:val="21"/>
                <w:highlight w:val="none"/>
                <w:lang w:val="en-US" w:eastAsia="zh-CN" w:bidi="zh-CN"/>
              </w:rPr>
              <w:t>2分</w:t>
            </w:r>
          </w:p>
        </w:tc>
        <w:tc>
          <w:tcPr>
            <w:tcW w:w="4410" w:type="dxa"/>
            <w:vAlign w:val="center"/>
          </w:tcPr>
          <w:p w14:paraId="5C260542">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color w:val="auto"/>
                <w:sz w:val="21"/>
                <w:szCs w:val="21"/>
                <w:highlight w:val="none"/>
                <w:lang w:val="en-US" w:eastAsia="zh-CN" w:bidi="zh-CN"/>
              </w:rPr>
            </w:pPr>
            <w:r>
              <w:rPr>
                <w:rFonts w:hint="default" w:ascii="Times New Roman" w:hAnsi="Times New Roman" w:eastAsia="方正仿宋_GBK" w:cs="Times New Roman"/>
                <w:color w:val="auto"/>
                <w:sz w:val="21"/>
                <w:szCs w:val="21"/>
                <w:highlight w:val="none"/>
                <w:lang w:val="en-US" w:eastAsia="zh-CN" w:bidi="zh-CN"/>
              </w:rPr>
              <w:t>能提供固定的养老保险 5人及以上2分，能提供固定的养老保险5人以下人1分，未提供0分。</w:t>
            </w:r>
          </w:p>
        </w:tc>
        <w:tc>
          <w:tcPr>
            <w:tcW w:w="1668" w:type="dxa"/>
            <w:vMerge w:val="continue"/>
            <w:vAlign w:val="center"/>
          </w:tcPr>
          <w:p w14:paraId="36456A5D">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 w:val="0"/>
                <w:color w:val="auto"/>
                <w:kern w:val="2"/>
                <w:sz w:val="21"/>
                <w:szCs w:val="21"/>
                <w:highlight w:val="none"/>
                <w:lang w:val="en-US" w:eastAsia="zh-CN" w:bidi="ar-SA"/>
              </w:rPr>
            </w:pPr>
          </w:p>
        </w:tc>
      </w:tr>
      <w:tr w14:paraId="20A9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9" w:hRule="atLeast"/>
          <w:jc w:val="center"/>
        </w:trPr>
        <w:tc>
          <w:tcPr>
            <w:tcW w:w="499" w:type="dxa"/>
            <w:vMerge w:val="continue"/>
            <w:vAlign w:val="center"/>
          </w:tcPr>
          <w:p w14:paraId="0A396D79">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027" w:type="dxa"/>
            <w:vMerge w:val="continue"/>
            <w:vAlign w:val="center"/>
          </w:tcPr>
          <w:p w14:paraId="2739814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259" w:type="dxa"/>
            <w:vAlign w:val="center"/>
          </w:tcPr>
          <w:p w14:paraId="577EB111">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客户评价（3%）</w:t>
            </w:r>
          </w:p>
        </w:tc>
        <w:tc>
          <w:tcPr>
            <w:tcW w:w="855" w:type="dxa"/>
            <w:vAlign w:val="center"/>
          </w:tcPr>
          <w:p w14:paraId="7E2B94A0">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3分</w:t>
            </w:r>
          </w:p>
        </w:tc>
        <w:tc>
          <w:tcPr>
            <w:tcW w:w="4410" w:type="dxa"/>
            <w:vAlign w:val="center"/>
          </w:tcPr>
          <w:p w14:paraId="5F2CF7BA">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Cs/>
                <w:color w:val="auto"/>
                <w:sz w:val="21"/>
                <w:szCs w:val="21"/>
                <w:highlight w:val="none"/>
                <w:lang w:val="en-US" w:eastAsia="zh-CN"/>
              </w:rPr>
            </w:pPr>
            <w:r>
              <w:rPr>
                <w:rFonts w:hint="default" w:ascii="Times New Roman" w:hAnsi="Times New Roman" w:eastAsia="方正仿宋_GBK" w:cs="Times New Roman"/>
                <w:bCs/>
                <w:color w:val="auto"/>
                <w:sz w:val="21"/>
                <w:szCs w:val="21"/>
                <w:highlight w:val="none"/>
                <w:lang w:val="en-US" w:eastAsia="zh-CN"/>
              </w:rPr>
              <w:t>供应商自2021年起至本项目开标之日止，已完成或正在履行期内的医院的</w:t>
            </w:r>
            <w:r>
              <w:rPr>
                <w:rFonts w:hint="default" w:ascii="Times New Roman" w:hAnsi="Times New Roman" w:eastAsia="方正仿宋_GBK" w:cs="Times New Roman"/>
                <w:color w:val="auto"/>
                <w:kern w:val="0"/>
                <w:sz w:val="21"/>
                <w:szCs w:val="21"/>
                <w:highlight w:val="none"/>
              </w:rPr>
              <w:t>综合评价良好</w:t>
            </w:r>
            <w:r>
              <w:rPr>
                <w:rFonts w:hint="default" w:ascii="Times New Roman" w:hAnsi="Times New Roman" w:eastAsia="方正仿宋_GBK" w:cs="Times New Roman"/>
                <w:color w:val="auto"/>
                <w:kern w:val="0"/>
                <w:sz w:val="21"/>
                <w:szCs w:val="21"/>
                <w:highlight w:val="none"/>
                <w:lang w:eastAsia="zh-CN"/>
              </w:rPr>
              <w:t>的</w:t>
            </w:r>
            <w:r>
              <w:rPr>
                <w:rFonts w:hint="default" w:ascii="Times New Roman" w:hAnsi="Times New Roman" w:eastAsia="方正仿宋_GBK" w:cs="Times New Roman"/>
                <w:bCs/>
                <w:color w:val="auto"/>
                <w:sz w:val="21"/>
                <w:szCs w:val="21"/>
                <w:highlight w:val="none"/>
                <w:lang w:val="en-US" w:eastAsia="zh-CN"/>
              </w:rPr>
              <w:t>，每提供一个证明材料得1分，最多得3分。</w:t>
            </w:r>
          </w:p>
        </w:tc>
        <w:tc>
          <w:tcPr>
            <w:tcW w:w="1668" w:type="dxa"/>
            <w:vAlign w:val="center"/>
          </w:tcPr>
          <w:p w14:paraId="015ECCEB">
            <w:pPr>
              <w:keepNext w:val="0"/>
              <w:keepLines w:val="0"/>
              <w:pageBreakBefore w:val="0"/>
              <w:widowControl/>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提供相关证明材料复印件并加盖供应商公章。</w:t>
            </w:r>
          </w:p>
        </w:tc>
      </w:tr>
      <w:tr w14:paraId="14289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9" w:hRule="atLeast"/>
          <w:jc w:val="center"/>
        </w:trPr>
        <w:tc>
          <w:tcPr>
            <w:tcW w:w="499" w:type="dxa"/>
            <w:vMerge w:val="continue"/>
            <w:vAlign w:val="center"/>
          </w:tcPr>
          <w:p w14:paraId="508005AD">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027" w:type="dxa"/>
            <w:vMerge w:val="continue"/>
            <w:vAlign w:val="center"/>
          </w:tcPr>
          <w:p w14:paraId="77506B0A">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p>
        </w:tc>
        <w:tc>
          <w:tcPr>
            <w:tcW w:w="1259" w:type="dxa"/>
            <w:vAlign w:val="center"/>
          </w:tcPr>
          <w:p w14:paraId="3ACA9D3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业绩（3%）</w:t>
            </w:r>
          </w:p>
        </w:tc>
        <w:tc>
          <w:tcPr>
            <w:tcW w:w="855" w:type="dxa"/>
            <w:vAlign w:val="center"/>
          </w:tcPr>
          <w:p w14:paraId="17A1E818">
            <w:pPr>
              <w:keepNext w:val="0"/>
              <w:keepLines w:val="0"/>
              <w:pageBreakBefore w:val="0"/>
              <w:widowControl/>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b w:val="0"/>
                <w:color w:val="auto"/>
                <w:kern w:val="2"/>
                <w:sz w:val="21"/>
                <w:szCs w:val="21"/>
                <w:highlight w:val="none"/>
                <w:lang w:val="en-US" w:eastAsia="zh-CN" w:bidi="ar-SA"/>
              </w:rPr>
              <w:t>3分</w:t>
            </w:r>
          </w:p>
        </w:tc>
        <w:tc>
          <w:tcPr>
            <w:tcW w:w="4410" w:type="dxa"/>
            <w:vAlign w:val="center"/>
          </w:tcPr>
          <w:p w14:paraId="38E01A39">
            <w:pPr>
              <w:spacing w:line="240" w:lineRule="auto"/>
              <w:rPr>
                <w:rFonts w:hint="default" w:ascii="Times New Roman" w:hAnsi="Times New Roman" w:eastAsia="方正仿宋_GBK" w:cs="Times New Roman"/>
                <w:bCs/>
                <w:color w:val="auto"/>
                <w:sz w:val="21"/>
                <w:szCs w:val="21"/>
                <w:highlight w:val="none"/>
                <w:lang w:val="en-US" w:eastAsia="zh-CN"/>
              </w:rPr>
            </w:pPr>
            <w:r>
              <w:rPr>
                <w:rFonts w:hint="default" w:ascii="Times New Roman" w:hAnsi="Times New Roman" w:eastAsia="方正仿宋_GBK" w:cs="Times New Roman"/>
                <w:color w:val="auto"/>
                <w:kern w:val="0"/>
                <w:sz w:val="21"/>
                <w:szCs w:val="21"/>
                <w:highlight w:val="none"/>
                <w:lang w:eastAsia="zh-CN"/>
              </w:rPr>
              <w:t>为保障供应商服务能力，</w:t>
            </w:r>
            <w:r>
              <w:rPr>
                <w:rFonts w:hint="default" w:ascii="Times New Roman" w:hAnsi="Times New Roman" w:eastAsia="方正仿宋_GBK" w:cs="Times New Roman"/>
                <w:color w:val="auto"/>
                <w:kern w:val="0"/>
                <w:sz w:val="21"/>
                <w:szCs w:val="21"/>
                <w:highlight w:val="none"/>
              </w:rPr>
              <w:t>供应商</w:t>
            </w:r>
            <w:r>
              <w:rPr>
                <w:rFonts w:hint="default" w:ascii="Times New Roman" w:hAnsi="Times New Roman" w:eastAsia="方正仿宋_GBK" w:cs="Times New Roman"/>
                <w:color w:val="auto"/>
                <w:kern w:val="0"/>
                <w:sz w:val="21"/>
                <w:szCs w:val="21"/>
                <w:highlight w:val="none"/>
                <w:lang w:eastAsia="zh-CN"/>
              </w:rPr>
              <w:t>自</w:t>
            </w:r>
            <w:r>
              <w:rPr>
                <w:rFonts w:hint="default" w:ascii="Times New Roman" w:hAnsi="Times New Roman" w:eastAsia="方正仿宋_GBK" w:cs="Times New Roman"/>
                <w:color w:val="auto"/>
                <w:kern w:val="0"/>
                <w:sz w:val="21"/>
                <w:szCs w:val="21"/>
                <w:highlight w:val="none"/>
                <w:lang w:val="en-US" w:eastAsia="zh-CN"/>
              </w:rPr>
              <w:t>2021年1月1日起至本项目开标之日止（以合同签订时间为准），具有</w:t>
            </w:r>
            <w:r>
              <w:rPr>
                <w:rFonts w:hint="default" w:ascii="Times New Roman" w:hAnsi="Times New Roman" w:eastAsia="方正仿宋_GBK" w:cs="Times New Roman"/>
                <w:color w:val="auto"/>
                <w:kern w:val="0"/>
                <w:sz w:val="21"/>
                <w:szCs w:val="21"/>
                <w:highlight w:val="none"/>
              </w:rPr>
              <w:t>类似项目</w:t>
            </w:r>
            <w:r>
              <w:rPr>
                <w:rFonts w:hint="default" w:ascii="Times New Roman" w:hAnsi="Times New Roman" w:eastAsia="方正仿宋_GBK" w:cs="Times New Roman"/>
                <w:color w:val="auto"/>
                <w:kern w:val="0"/>
                <w:sz w:val="21"/>
                <w:szCs w:val="21"/>
                <w:highlight w:val="none"/>
                <w:lang w:val="en-US" w:eastAsia="zh-CN"/>
              </w:rPr>
              <w:t>同级</w:t>
            </w:r>
            <w:r>
              <w:rPr>
                <w:rFonts w:hint="default" w:ascii="Times New Roman" w:hAnsi="Times New Roman" w:eastAsia="方正仿宋_GBK" w:cs="Times New Roman"/>
                <w:color w:val="auto"/>
                <w:kern w:val="0"/>
                <w:sz w:val="21"/>
                <w:szCs w:val="21"/>
                <w:highlight w:val="none"/>
                <w:lang w:eastAsia="zh-CN"/>
              </w:rPr>
              <w:t>医院服务</w:t>
            </w:r>
            <w:r>
              <w:rPr>
                <w:rFonts w:hint="default" w:ascii="Times New Roman" w:hAnsi="Times New Roman" w:eastAsia="方正仿宋_GBK" w:cs="Times New Roman"/>
                <w:color w:val="auto"/>
                <w:kern w:val="0"/>
                <w:sz w:val="21"/>
                <w:szCs w:val="21"/>
                <w:highlight w:val="none"/>
              </w:rPr>
              <w:t>业绩</w:t>
            </w:r>
            <w:r>
              <w:rPr>
                <w:rFonts w:hint="default" w:ascii="Times New Roman" w:hAnsi="Times New Roman" w:eastAsia="方正仿宋_GBK" w:cs="Times New Roman"/>
                <w:color w:val="auto"/>
                <w:kern w:val="0"/>
                <w:sz w:val="21"/>
                <w:szCs w:val="21"/>
                <w:highlight w:val="none"/>
                <w:lang w:eastAsia="zh-CN"/>
              </w:rPr>
              <w:t>的，每提供</w:t>
            </w:r>
            <w:r>
              <w:rPr>
                <w:rFonts w:hint="default" w:ascii="Times New Roman" w:hAnsi="Times New Roman" w:eastAsia="方正仿宋_GBK" w:cs="Times New Roman"/>
                <w:color w:val="auto"/>
                <w:kern w:val="0"/>
                <w:sz w:val="21"/>
                <w:szCs w:val="21"/>
                <w:highlight w:val="none"/>
              </w:rPr>
              <w:t>一个得</w:t>
            </w:r>
            <w:r>
              <w:rPr>
                <w:rFonts w:hint="default" w:ascii="Times New Roman" w:hAnsi="Times New Roman" w:eastAsia="方正仿宋_GBK" w:cs="Times New Roman"/>
                <w:color w:val="auto"/>
                <w:kern w:val="0"/>
                <w:sz w:val="21"/>
                <w:szCs w:val="21"/>
                <w:highlight w:val="none"/>
                <w:lang w:val="en-US" w:eastAsia="zh-CN"/>
              </w:rPr>
              <w:t>1</w:t>
            </w:r>
            <w:r>
              <w:rPr>
                <w:rFonts w:hint="default" w:ascii="Times New Roman" w:hAnsi="Times New Roman" w:eastAsia="方正仿宋_GBK" w:cs="Times New Roman"/>
                <w:color w:val="auto"/>
                <w:kern w:val="0"/>
                <w:sz w:val="21"/>
                <w:szCs w:val="21"/>
                <w:highlight w:val="none"/>
              </w:rPr>
              <w:t>分，最高</w:t>
            </w:r>
            <w:r>
              <w:rPr>
                <w:rFonts w:hint="default" w:ascii="Times New Roman" w:hAnsi="Times New Roman" w:eastAsia="方正仿宋_GBK" w:cs="Times New Roman"/>
                <w:color w:val="auto"/>
                <w:kern w:val="0"/>
                <w:sz w:val="21"/>
                <w:szCs w:val="21"/>
                <w:highlight w:val="none"/>
                <w:lang w:val="en-US" w:eastAsia="zh-CN"/>
              </w:rPr>
              <w:t>3</w:t>
            </w:r>
            <w:r>
              <w:rPr>
                <w:rFonts w:hint="default" w:ascii="Times New Roman" w:hAnsi="Times New Roman" w:eastAsia="方正仿宋_GBK" w:cs="Times New Roman"/>
                <w:color w:val="auto"/>
                <w:kern w:val="0"/>
                <w:sz w:val="21"/>
                <w:szCs w:val="21"/>
                <w:highlight w:val="none"/>
              </w:rPr>
              <w:t>分。</w:t>
            </w:r>
          </w:p>
        </w:tc>
        <w:tc>
          <w:tcPr>
            <w:tcW w:w="1668" w:type="dxa"/>
            <w:vAlign w:val="center"/>
          </w:tcPr>
          <w:p w14:paraId="5E6F1582">
            <w:pPr>
              <w:spacing w:line="240" w:lineRule="auto"/>
              <w:rPr>
                <w:rFonts w:hint="default" w:ascii="Times New Roman" w:hAnsi="Times New Roman" w:eastAsia="方正仿宋_GBK" w:cs="Times New Roman"/>
                <w:b w:val="0"/>
                <w:color w:val="auto"/>
                <w:kern w:val="2"/>
                <w:sz w:val="21"/>
                <w:szCs w:val="21"/>
                <w:highlight w:val="none"/>
                <w:lang w:val="en-US" w:eastAsia="zh-CN" w:bidi="ar-SA"/>
              </w:rPr>
            </w:pPr>
            <w:r>
              <w:rPr>
                <w:rFonts w:hint="default" w:ascii="Times New Roman" w:hAnsi="Times New Roman" w:eastAsia="方正仿宋_GBK" w:cs="Times New Roman"/>
                <w:color w:val="auto"/>
                <w:kern w:val="0"/>
                <w:sz w:val="21"/>
                <w:szCs w:val="21"/>
                <w:highlight w:val="none"/>
                <w:lang w:eastAsia="zh-CN"/>
              </w:rPr>
              <w:t>提供相关医院证明及相关合同复印件并加盖供应商公章。</w:t>
            </w:r>
          </w:p>
        </w:tc>
      </w:tr>
    </w:tbl>
    <w:p w14:paraId="097A4418">
      <w:pPr>
        <w:pStyle w:val="15"/>
        <w:bidi w:val="0"/>
        <w:ind w:left="0" w:leftChars="0" w:firstLine="480" w:firstLineChars="200"/>
        <w:rPr>
          <w:rFonts w:hint="default" w:ascii="Times New Roman" w:hAnsi="Times New Roman" w:cs="Times New Roman"/>
          <w:color w:val="auto"/>
        </w:rPr>
      </w:pPr>
      <w:r>
        <w:rPr>
          <w:rFonts w:hint="default" w:ascii="Times New Roman" w:hAnsi="Times New Roman" w:cs="Times New Roman"/>
          <w:color w:val="auto"/>
          <w:lang w:val="en-US" w:eastAsia="zh-CN"/>
        </w:rPr>
        <w:t>三</w:t>
      </w:r>
      <w:r>
        <w:rPr>
          <w:rFonts w:hint="default" w:ascii="Times New Roman" w:hAnsi="Times New Roman" w:cs="Times New Roman"/>
          <w:color w:val="auto"/>
        </w:rPr>
        <w:t>、无效响应</w:t>
      </w:r>
      <w:bookmarkEnd w:id="106"/>
      <w:bookmarkEnd w:id="107"/>
    </w:p>
    <w:p w14:paraId="2FFA737D">
      <w:pPr>
        <w:pStyle w:val="14"/>
        <w:bidi w:val="0"/>
        <w:rPr>
          <w:rFonts w:hint="default" w:ascii="Times New Roman" w:hAnsi="Times New Roman" w:cs="Times New Roman"/>
          <w:color w:val="auto"/>
        </w:rPr>
      </w:pPr>
      <w:r>
        <w:rPr>
          <w:rFonts w:hint="default" w:ascii="Times New Roman" w:hAnsi="Times New Roman" w:cs="Times New Roman"/>
          <w:color w:val="auto"/>
        </w:rPr>
        <w:t>供应商发生以下条款情况之一者，视为无效响应，其响应文件将被拒绝：</w:t>
      </w:r>
    </w:p>
    <w:p w14:paraId="4E90CA49">
      <w:pPr>
        <w:pStyle w:val="14"/>
        <w:bidi w:val="0"/>
        <w:rPr>
          <w:rFonts w:hint="default" w:ascii="Times New Roman" w:hAnsi="Times New Roman" w:cs="Times New Roman"/>
          <w:color w:val="auto"/>
        </w:rPr>
      </w:pPr>
      <w:r>
        <w:rPr>
          <w:rFonts w:hint="default" w:ascii="Times New Roman" w:hAnsi="Times New Roman" w:cs="Times New Roman"/>
          <w:color w:val="auto"/>
        </w:rPr>
        <w:t>（一）供应商不符合规定的基本资格条件的；</w:t>
      </w:r>
    </w:p>
    <w:p w14:paraId="44188D67">
      <w:pPr>
        <w:pStyle w:val="14"/>
        <w:bidi w:val="0"/>
        <w:rPr>
          <w:rFonts w:hint="default" w:ascii="Times New Roman" w:hAnsi="Times New Roman" w:cs="Times New Roman"/>
          <w:color w:val="auto"/>
        </w:rPr>
      </w:pPr>
      <w:r>
        <w:rPr>
          <w:rFonts w:hint="default" w:ascii="Times New Roman" w:hAnsi="Times New Roman" w:cs="Times New Roman"/>
          <w:color w:val="auto"/>
        </w:rPr>
        <w:t>（二）供应商的报价高于</w:t>
      </w:r>
      <w:r>
        <w:rPr>
          <w:rFonts w:hint="default" w:ascii="Times New Roman" w:hAnsi="Times New Roman" w:cs="Times New Roman"/>
          <w:color w:val="auto"/>
          <w:lang w:eastAsia="zh-CN"/>
        </w:rPr>
        <w:t>磋商</w:t>
      </w:r>
      <w:r>
        <w:rPr>
          <w:rFonts w:hint="default" w:ascii="Times New Roman" w:hAnsi="Times New Roman" w:cs="Times New Roman"/>
          <w:color w:val="auto"/>
        </w:rPr>
        <w:t>控制价的；</w:t>
      </w:r>
    </w:p>
    <w:p w14:paraId="04DFF2B4">
      <w:pPr>
        <w:pStyle w:val="14"/>
        <w:bidi w:val="0"/>
        <w:rPr>
          <w:rFonts w:hint="default" w:ascii="Times New Roman" w:hAnsi="Times New Roman" w:cs="Times New Roman"/>
          <w:color w:val="auto"/>
        </w:rPr>
      </w:pPr>
      <w:r>
        <w:rPr>
          <w:rFonts w:hint="default" w:ascii="Times New Roman" w:hAnsi="Times New Roman" w:cs="Times New Roman"/>
          <w:color w:val="auto"/>
        </w:rPr>
        <w:t>（三）法定代表人为同一个人的两个及两个以上法人，母公司、全资子公司及其控股公司，在同一分包采购中同时参与</w:t>
      </w:r>
      <w:r>
        <w:rPr>
          <w:rFonts w:hint="default" w:ascii="Times New Roman" w:hAnsi="Times New Roman" w:cs="Times New Roman"/>
          <w:color w:val="auto"/>
          <w:lang w:eastAsia="zh-CN"/>
        </w:rPr>
        <w:t>响应</w:t>
      </w:r>
      <w:r>
        <w:rPr>
          <w:rFonts w:hint="default" w:ascii="Times New Roman" w:hAnsi="Times New Roman" w:cs="Times New Roman"/>
          <w:color w:val="auto"/>
        </w:rPr>
        <w:t>；</w:t>
      </w:r>
    </w:p>
    <w:p w14:paraId="29C7D7DF">
      <w:pPr>
        <w:pStyle w:val="14"/>
        <w:bidi w:val="0"/>
        <w:rPr>
          <w:rFonts w:hint="default" w:ascii="Times New Roman" w:hAnsi="Times New Roman" w:cs="Times New Roman"/>
          <w:color w:val="auto"/>
        </w:rPr>
      </w:pPr>
      <w:r>
        <w:rPr>
          <w:rFonts w:hint="default" w:ascii="Times New Roman" w:hAnsi="Times New Roman" w:cs="Times New Roman"/>
          <w:color w:val="auto"/>
        </w:rPr>
        <w:t>（四）单位负责人为同一人或者存在直接控股、管理关系的不同供应商，参加同一合同项下的采购活动的；</w:t>
      </w:r>
    </w:p>
    <w:p w14:paraId="1EE22E38">
      <w:pPr>
        <w:pStyle w:val="14"/>
        <w:bidi w:val="0"/>
        <w:rPr>
          <w:rFonts w:hint="default" w:ascii="Times New Roman" w:hAnsi="Times New Roman" w:cs="Times New Roman"/>
          <w:color w:val="auto"/>
        </w:rPr>
      </w:pPr>
      <w:r>
        <w:rPr>
          <w:rFonts w:hint="default" w:ascii="Times New Roman" w:hAnsi="Times New Roman" w:cs="Times New Roman"/>
          <w:color w:val="auto"/>
        </w:rPr>
        <w:t>（五）供应商的投标有效期不满足</w:t>
      </w:r>
      <w:r>
        <w:rPr>
          <w:rFonts w:hint="default" w:ascii="Times New Roman" w:hAnsi="Times New Roman" w:cs="Times New Roman"/>
          <w:color w:val="auto"/>
          <w:lang w:eastAsia="zh-CN"/>
        </w:rPr>
        <w:t>采购</w:t>
      </w:r>
      <w:r>
        <w:rPr>
          <w:rFonts w:hint="default" w:ascii="Times New Roman" w:hAnsi="Times New Roman" w:cs="Times New Roman"/>
          <w:color w:val="auto"/>
        </w:rPr>
        <w:t>文件要求的；</w:t>
      </w:r>
    </w:p>
    <w:p w14:paraId="11CA9EE7">
      <w:pPr>
        <w:pStyle w:val="14"/>
        <w:bidi w:val="0"/>
        <w:rPr>
          <w:rFonts w:hint="default" w:ascii="Times New Roman" w:hAnsi="Times New Roman" w:cs="Times New Roman"/>
          <w:color w:val="auto"/>
        </w:rPr>
      </w:pPr>
      <w:r>
        <w:rPr>
          <w:rFonts w:hint="default" w:ascii="Times New Roman" w:hAnsi="Times New Roman" w:cs="Times New Roman"/>
          <w:color w:val="auto"/>
        </w:rPr>
        <w:t>（六）供应商响应文件内容有与国家现行法律法规相违背的内容，或附有采购人无法接受的条件；</w:t>
      </w:r>
    </w:p>
    <w:p w14:paraId="7C8B0B44">
      <w:pPr>
        <w:pStyle w:val="14"/>
        <w:bidi w:val="0"/>
        <w:rPr>
          <w:rFonts w:hint="default" w:ascii="Times New Roman" w:hAnsi="Times New Roman" w:cs="Times New Roman"/>
          <w:color w:val="auto"/>
        </w:rPr>
      </w:pPr>
      <w:r>
        <w:rPr>
          <w:rFonts w:hint="default" w:ascii="Times New Roman" w:hAnsi="Times New Roman" w:cs="Times New Roman"/>
          <w:color w:val="auto"/>
        </w:rPr>
        <w:t>（七）供应商被列入失信被执行人、重大税收违法案件当事人名单、政府采购严重违法失信行为记录名单及其他不符合《中华人民共和国政府采购法》第二十二条规定条件的。</w:t>
      </w:r>
    </w:p>
    <w:p w14:paraId="5B98E03D">
      <w:pPr>
        <w:pStyle w:val="15"/>
        <w:bidi w:val="0"/>
        <w:rPr>
          <w:rFonts w:hint="default" w:ascii="Times New Roman" w:hAnsi="Times New Roman" w:cs="Times New Roman"/>
          <w:color w:val="auto"/>
        </w:rPr>
      </w:pPr>
      <w:bookmarkStart w:id="108" w:name="_Toc30269"/>
      <w:bookmarkStart w:id="109" w:name="_Toc14190"/>
      <w:r>
        <w:rPr>
          <w:rFonts w:hint="default" w:ascii="Times New Roman" w:hAnsi="Times New Roman" w:cs="Times New Roman"/>
          <w:color w:val="auto"/>
          <w:lang w:val="en-US" w:eastAsia="zh-CN"/>
        </w:rPr>
        <w:t>四</w:t>
      </w:r>
      <w:r>
        <w:rPr>
          <w:rFonts w:hint="default" w:ascii="Times New Roman" w:hAnsi="Times New Roman" w:cs="Times New Roman"/>
          <w:color w:val="auto"/>
        </w:rPr>
        <w:t>、采购终止</w:t>
      </w:r>
      <w:bookmarkEnd w:id="108"/>
      <w:bookmarkEnd w:id="109"/>
    </w:p>
    <w:p w14:paraId="70B398CB">
      <w:pPr>
        <w:pStyle w:val="14"/>
        <w:bidi w:val="0"/>
        <w:rPr>
          <w:rFonts w:hint="default" w:ascii="Times New Roman" w:hAnsi="Times New Roman" w:cs="Times New Roman"/>
          <w:color w:val="auto"/>
        </w:rPr>
      </w:pPr>
      <w:r>
        <w:rPr>
          <w:rFonts w:hint="default" w:ascii="Times New Roman" w:hAnsi="Times New Roman" w:cs="Times New Roman"/>
          <w:color w:val="auto"/>
        </w:rPr>
        <w:t>出现下列情形之一的，采购人应当终止采购活动，发布项目终止公告并说明原因，重新开展采购活动：</w:t>
      </w:r>
    </w:p>
    <w:p w14:paraId="0048E882">
      <w:pPr>
        <w:pStyle w:val="14"/>
        <w:bidi w:val="0"/>
        <w:rPr>
          <w:rFonts w:hint="default" w:ascii="Times New Roman" w:hAnsi="Times New Roman" w:cs="Times New Roman"/>
          <w:color w:val="auto"/>
        </w:rPr>
      </w:pPr>
      <w:r>
        <w:rPr>
          <w:rFonts w:hint="default" w:ascii="Times New Roman" w:hAnsi="Times New Roman" w:cs="Times New Roman"/>
          <w:color w:val="auto"/>
          <w:lang w:eastAsia="zh-CN"/>
        </w:rPr>
        <w:t>（一）</w:t>
      </w:r>
      <w:r>
        <w:rPr>
          <w:rFonts w:hint="default" w:ascii="Times New Roman" w:hAnsi="Times New Roman" w:cs="Times New Roman"/>
          <w:color w:val="auto"/>
        </w:rPr>
        <w:t>因情况变化，不再符合规定的</w:t>
      </w:r>
      <w:r>
        <w:rPr>
          <w:rFonts w:hint="default" w:ascii="Times New Roman" w:hAnsi="Times New Roman" w:cs="Times New Roman"/>
          <w:color w:val="auto"/>
          <w:lang w:eastAsia="zh-CN"/>
        </w:rPr>
        <w:t>采购</w:t>
      </w:r>
      <w:r>
        <w:rPr>
          <w:rFonts w:hint="default" w:ascii="Times New Roman" w:hAnsi="Times New Roman" w:cs="Times New Roman"/>
          <w:color w:val="auto"/>
        </w:rPr>
        <w:t>适用情形的；</w:t>
      </w:r>
    </w:p>
    <w:p w14:paraId="6D5DA03D">
      <w:pPr>
        <w:pStyle w:val="14"/>
        <w:bidi w:val="0"/>
        <w:rPr>
          <w:rFonts w:hint="default" w:ascii="Times New Roman" w:hAnsi="Times New Roman" w:cs="Times New Roman"/>
          <w:color w:val="auto"/>
        </w:rPr>
      </w:pPr>
      <w:r>
        <w:rPr>
          <w:rFonts w:hint="default" w:ascii="Times New Roman" w:hAnsi="Times New Roman" w:cs="Times New Roman"/>
          <w:color w:val="auto"/>
          <w:lang w:eastAsia="zh-CN"/>
        </w:rPr>
        <w:t>（二）</w:t>
      </w:r>
      <w:r>
        <w:rPr>
          <w:rFonts w:hint="default" w:ascii="Times New Roman" w:hAnsi="Times New Roman" w:cs="Times New Roman"/>
          <w:color w:val="auto"/>
        </w:rPr>
        <w:t>出现影响采购公正的违法、违规行为的；</w:t>
      </w:r>
    </w:p>
    <w:p w14:paraId="39D96B23">
      <w:pPr>
        <w:pStyle w:val="14"/>
        <w:bidi w:val="0"/>
        <w:rPr>
          <w:rFonts w:hint="default" w:ascii="Times New Roman" w:hAnsi="Times New Roman" w:cs="Times New Roman"/>
          <w:color w:val="auto"/>
        </w:rPr>
      </w:pPr>
      <w:r>
        <w:rPr>
          <w:rFonts w:hint="default" w:ascii="Times New Roman" w:hAnsi="Times New Roman" w:cs="Times New Roman"/>
          <w:color w:val="auto"/>
          <w:lang w:eastAsia="zh-CN"/>
        </w:rPr>
        <w:t>（三）</w:t>
      </w:r>
      <w:r>
        <w:rPr>
          <w:rFonts w:hint="default" w:ascii="Times New Roman" w:hAnsi="Times New Roman" w:cs="Times New Roman"/>
          <w:color w:val="auto"/>
        </w:rPr>
        <w:t>在采购过程中符合竞争要求的供应商或者报价未超过采购预算的供应商不足</w:t>
      </w:r>
      <w:r>
        <w:rPr>
          <w:rFonts w:hint="default" w:ascii="Times New Roman" w:hAnsi="Times New Roman" w:cs="Times New Roman"/>
          <w:color w:val="auto"/>
          <w:lang w:val="en-US" w:eastAsia="zh-CN"/>
        </w:rPr>
        <w:t>3</w:t>
      </w:r>
      <w:r>
        <w:rPr>
          <w:rFonts w:hint="default" w:ascii="Times New Roman" w:hAnsi="Times New Roman" w:cs="Times New Roman"/>
          <w:color w:val="auto"/>
        </w:rPr>
        <w:t>家的，废标后，除采购任务取消情形外，应当重新组织采购。</w:t>
      </w:r>
    </w:p>
    <w:p w14:paraId="649BD072">
      <w:pPr>
        <w:jc w:val="center"/>
        <w:rPr>
          <w:rStyle w:val="22"/>
          <w:rFonts w:hint="default" w:ascii="Times New Roman" w:hAnsi="Times New Roman" w:cs="Times New Roman"/>
          <w:color w:val="auto"/>
          <w:lang w:val="en-US" w:eastAsia="zh-CN"/>
        </w:rPr>
      </w:pPr>
      <w:r>
        <w:rPr>
          <w:rFonts w:hint="default" w:ascii="Times New Roman" w:hAnsi="Times New Roman" w:eastAsia="仿宋" w:cs="Times New Roman"/>
          <w:color w:val="auto"/>
          <w:kern w:val="0"/>
          <w:sz w:val="24"/>
          <w:szCs w:val="24"/>
        </w:rPr>
        <w:br w:type="page"/>
      </w:r>
      <w:bookmarkEnd w:id="53"/>
      <w:bookmarkEnd w:id="102"/>
      <w:bookmarkEnd w:id="103"/>
      <w:bookmarkStart w:id="110" w:name="_Toc18119"/>
      <w:r>
        <w:rPr>
          <w:rStyle w:val="22"/>
          <w:rFonts w:hint="default" w:ascii="Times New Roman" w:hAnsi="Times New Roman" w:cs="Times New Roman"/>
          <w:color w:val="auto"/>
          <w:lang w:val="en-US" w:eastAsia="zh-CN"/>
        </w:rPr>
        <w:t xml:space="preserve">第五篇 </w:t>
      </w:r>
      <w:bookmarkEnd w:id="110"/>
      <w:bookmarkStart w:id="111" w:name="_Toc22316"/>
      <w:bookmarkStart w:id="112" w:name="_Toc26525"/>
      <w:bookmarkStart w:id="113" w:name="_Toc285722712"/>
      <w:bookmarkStart w:id="114" w:name="_Toc277084870"/>
      <w:bookmarkStart w:id="115" w:name="_Toc277084871"/>
      <w:bookmarkStart w:id="116" w:name="_Toc285722713"/>
      <w:r>
        <w:rPr>
          <w:rStyle w:val="22"/>
          <w:rFonts w:hint="default" w:ascii="Times New Roman" w:hAnsi="Times New Roman" w:cs="Times New Roman"/>
          <w:color w:val="auto"/>
          <w:lang w:val="en-US" w:eastAsia="zh-CN"/>
        </w:rPr>
        <w:t>合同主要条款和格式合同（参考样本）</w:t>
      </w:r>
    </w:p>
    <w:p w14:paraId="288876D1">
      <w:pPr>
        <w:keepLines w:val="0"/>
        <w:pageBreakBefore w:val="0"/>
        <w:widowControl w:val="0"/>
        <w:kinsoku/>
        <w:wordWrap/>
        <w:overflowPunct/>
        <w:topLinePunct w:val="0"/>
        <w:autoSpaceDE/>
        <w:autoSpaceDN/>
        <w:bidi w:val="0"/>
        <w:adjustRightInd/>
        <w:spacing w:line="480" w:lineRule="exact"/>
        <w:jc w:val="center"/>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b/>
          <w:bCs/>
          <w:color w:val="auto"/>
          <w:kern w:val="2"/>
          <w:sz w:val="24"/>
          <w:szCs w:val="24"/>
          <w:highlight w:val="none"/>
          <w:lang w:val="en-US" w:eastAsia="zh-CN" w:bidi="ar-SA"/>
        </w:rPr>
        <w:t>合同具体内容由采购人与中标供应商协商</w:t>
      </w:r>
    </w:p>
    <w:p w14:paraId="3A6B12F1">
      <w:pPr>
        <w:pStyle w:val="15"/>
        <w:bidi w:val="0"/>
        <w:rPr>
          <w:rFonts w:hint="default" w:ascii="Times New Roman" w:hAnsi="Times New Roman" w:cs="Times New Roman"/>
          <w:color w:val="auto"/>
        </w:rPr>
      </w:pPr>
      <w:r>
        <w:rPr>
          <w:rFonts w:hint="default" w:ascii="Times New Roman" w:hAnsi="Times New Roman" w:cs="Times New Roman"/>
          <w:color w:val="auto"/>
        </w:rPr>
        <w:t>一、合同主要条款</w:t>
      </w:r>
      <w:bookmarkEnd w:id="111"/>
    </w:p>
    <w:p w14:paraId="418F59E8">
      <w:pPr>
        <w:pStyle w:val="14"/>
        <w:bidi w:val="0"/>
        <w:rPr>
          <w:rFonts w:hint="default" w:ascii="Times New Roman" w:hAnsi="Times New Roman" w:cs="Times New Roman"/>
          <w:color w:val="auto"/>
        </w:rPr>
      </w:pPr>
      <w:r>
        <w:rPr>
          <w:rFonts w:hint="default" w:ascii="Times New Roman" w:hAnsi="Times New Roman" w:cs="Times New Roman"/>
          <w:color w:val="auto"/>
        </w:rPr>
        <w:t>1.定义</w:t>
      </w:r>
    </w:p>
    <w:p w14:paraId="6CDDD0E1">
      <w:pPr>
        <w:pStyle w:val="14"/>
        <w:bidi w:val="0"/>
        <w:rPr>
          <w:rFonts w:hint="default" w:ascii="Times New Roman" w:hAnsi="Times New Roman" w:cs="Times New Roman"/>
          <w:color w:val="auto"/>
        </w:rPr>
      </w:pPr>
      <w:r>
        <w:rPr>
          <w:rFonts w:hint="default" w:ascii="Times New Roman" w:hAnsi="Times New Roman" w:cs="Times New Roman"/>
          <w:color w:val="auto"/>
        </w:rPr>
        <w:t>1.1甲方（需方）即</w:t>
      </w:r>
      <w:r>
        <w:rPr>
          <w:rFonts w:hint="default" w:ascii="Times New Roman" w:hAnsi="Times New Roman" w:cs="Times New Roman"/>
          <w:color w:val="auto"/>
          <w:lang w:eastAsia="zh-CN"/>
        </w:rPr>
        <w:t>采购</w:t>
      </w:r>
      <w:r>
        <w:rPr>
          <w:rFonts w:hint="default" w:ascii="Times New Roman" w:hAnsi="Times New Roman" w:cs="Times New Roman"/>
          <w:color w:val="auto"/>
        </w:rPr>
        <w:t>人，是指通过</w:t>
      </w:r>
      <w:r>
        <w:rPr>
          <w:rFonts w:hint="default" w:ascii="Times New Roman" w:hAnsi="Times New Roman" w:cs="Times New Roman"/>
          <w:color w:val="auto"/>
          <w:lang w:eastAsia="zh-CN"/>
        </w:rPr>
        <w:t>磋商</w:t>
      </w:r>
      <w:r>
        <w:rPr>
          <w:rFonts w:hint="default" w:ascii="Times New Roman" w:hAnsi="Times New Roman" w:cs="Times New Roman"/>
          <w:color w:val="auto"/>
        </w:rPr>
        <w:t>采购，接受合同货物及服务的各级国家机关、事业单位和团体组织。</w:t>
      </w:r>
    </w:p>
    <w:p w14:paraId="7EDE5EA3">
      <w:pPr>
        <w:pStyle w:val="14"/>
        <w:bidi w:val="0"/>
        <w:rPr>
          <w:rFonts w:hint="default" w:ascii="Times New Roman" w:hAnsi="Times New Roman" w:cs="Times New Roman"/>
          <w:color w:val="auto"/>
        </w:rPr>
      </w:pPr>
      <w:r>
        <w:rPr>
          <w:rFonts w:hint="default" w:ascii="Times New Roman" w:hAnsi="Times New Roman" w:cs="Times New Roman"/>
          <w:color w:val="auto"/>
        </w:rPr>
        <w:t>1.2乙方（供方）即</w:t>
      </w:r>
      <w:r>
        <w:rPr>
          <w:rFonts w:hint="default" w:ascii="Times New Roman" w:hAnsi="Times New Roman" w:cs="Times New Roman"/>
          <w:color w:val="auto"/>
          <w:lang w:eastAsia="zh-CN"/>
        </w:rPr>
        <w:t>成交供应商</w:t>
      </w:r>
      <w:r>
        <w:rPr>
          <w:rFonts w:hint="default" w:ascii="Times New Roman" w:hAnsi="Times New Roman" w:cs="Times New Roman"/>
          <w:color w:val="auto"/>
        </w:rPr>
        <w:t>，是指中选后提供合同货物和服务的自然人、法人及其他组织。</w:t>
      </w:r>
    </w:p>
    <w:p w14:paraId="60A12E4D">
      <w:pPr>
        <w:pStyle w:val="14"/>
        <w:bidi w:val="0"/>
        <w:rPr>
          <w:rFonts w:hint="default" w:ascii="Times New Roman" w:hAnsi="Times New Roman" w:cs="Times New Roman"/>
          <w:color w:val="auto"/>
        </w:rPr>
      </w:pPr>
      <w:r>
        <w:rPr>
          <w:rFonts w:hint="default" w:ascii="Times New Roman" w:hAnsi="Times New Roman" w:cs="Times New Roman"/>
          <w:color w:val="auto"/>
        </w:rPr>
        <w:t>1.3合同是指由甲乙双方按照</w:t>
      </w:r>
      <w:r>
        <w:rPr>
          <w:rFonts w:hint="default" w:ascii="Times New Roman" w:hAnsi="Times New Roman" w:cs="Times New Roman"/>
          <w:color w:val="auto"/>
          <w:lang w:eastAsia="zh-CN"/>
        </w:rPr>
        <w:t>采购</w:t>
      </w:r>
      <w:r>
        <w:rPr>
          <w:rFonts w:hint="default" w:ascii="Times New Roman" w:hAnsi="Times New Roman" w:cs="Times New Roman"/>
          <w:color w:val="auto"/>
        </w:rPr>
        <w:t>文件和</w:t>
      </w:r>
      <w:r>
        <w:rPr>
          <w:rFonts w:hint="default" w:ascii="Times New Roman" w:hAnsi="Times New Roman" w:cs="Times New Roman"/>
          <w:color w:val="auto"/>
          <w:lang w:eastAsia="zh-CN"/>
        </w:rPr>
        <w:t>采购</w:t>
      </w:r>
      <w:r>
        <w:rPr>
          <w:rFonts w:hint="default" w:ascii="Times New Roman" w:hAnsi="Times New Roman" w:cs="Times New Roman"/>
          <w:color w:val="auto"/>
        </w:rPr>
        <w:t>申请文件的实质性内容，通过协商一致达成的书面协议。</w:t>
      </w:r>
    </w:p>
    <w:p w14:paraId="20EAEB99">
      <w:pPr>
        <w:pStyle w:val="1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1.4合同价格指以中选价格为依据，在供方全面履行合同义务后，需方应支付给供方的金额。</w:t>
      </w:r>
    </w:p>
    <w:p w14:paraId="11F8466D">
      <w:pPr>
        <w:pStyle w:val="1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1.5技术资料是指合同货物及其相关的设计、制造、监造、检验、验收等文件（包括图纸、各种文字说明、标准）。</w:t>
      </w:r>
    </w:p>
    <w:p w14:paraId="1F1A9E9A">
      <w:pPr>
        <w:pStyle w:val="1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2.合同内容</w:t>
      </w:r>
    </w:p>
    <w:p w14:paraId="744CB405">
      <w:pPr>
        <w:pStyle w:val="1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合同包括以下内容</w:t>
      </w:r>
      <w:r>
        <w:rPr>
          <w:rFonts w:hint="default" w:ascii="Times New Roman" w:hAnsi="Times New Roman" w:cs="Times New Roman"/>
          <w:color w:val="auto"/>
          <w:highlight w:val="none"/>
          <w:lang w:eastAsia="zh-CN"/>
        </w:rPr>
        <w:t>：</w:t>
      </w:r>
      <w:r>
        <w:rPr>
          <w:rFonts w:hint="default" w:ascii="Times New Roman" w:hAnsi="Times New Roman" w:cs="Times New Roman"/>
          <w:color w:val="auto"/>
          <w:highlight w:val="none"/>
        </w:rPr>
        <w:t>服务内容、服务期限、服务地点等内容。</w:t>
      </w:r>
    </w:p>
    <w:p w14:paraId="1425A0DF">
      <w:pPr>
        <w:pStyle w:val="14"/>
        <w:bidi w:val="0"/>
        <w:rPr>
          <w:rFonts w:hint="default" w:ascii="Times New Roman" w:hAnsi="Times New Roman" w:cs="Times New Roman"/>
          <w:color w:val="auto"/>
          <w:highlight w:val="none"/>
        </w:rPr>
      </w:pPr>
      <w:r>
        <w:rPr>
          <w:rFonts w:hint="default" w:ascii="Times New Roman" w:hAnsi="Times New Roman" w:cs="Times New Roman"/>
          <w:color w:val="auto"/>
          <w:highlight w:val="none"/>
        </w:rPr>
        <w:t>3.合同价格</w:t>
      </w:r>
    </w:p>
    <w:p w14:paraId="47599AC7">
      <w:pPr>
        <w:pStyle w:val="14"/>
        <w:bidi w:val="0"/>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t>3.1合同价格</w:t>
      </w:r>
      <w:r>
        <w:rPr>
          <w:rFonts w:hint="default" w:ascii="Times New Roman" w:hAnsi="Times New Roman" w:cs="Times New Roman"/>
          <w:color w:val="auto"/>
          <w:highlight w:val="none"/>
          <w:lang w:val="en-US" w:eastAsia="zh-CN"/>
        </w:rPr>
        <w:t>无。</w:t>
      </w:r>
    </w:p>
    <w:p w14:paraId="71D7044C">
      <w:pPr>
        <w:pStyle w:val="14"/>
        <w:bidi w:val="0"/>
        <w:rPr>
          <w:rFonts w:hint="default" w:ascii="Times New Roman" w:hAnsi="Times New Roman" w:cs="Times New Roman"/>
          <w:color w:val="auto"/>
        </w:rPr>
      </w:pPr>
      <w:r>
        <w:rPr>
          <w:rFonts w:hint="default" w:ascii="Times New Roman" w:hAnsi="Times New Roman" w:cs="Times New Roman"/>
          <w:color w:val="auto"/>
        </w:rPr>
        <w:t>3.2</w:t>
      </w:r>
      <w:r>
        <w:rPr>
          <w:rFonts w:hint="default" w:ascii="Times New Roman" w:hAnsi="Times New Roman" w:cs="Times New Roman"/>
          <w:color w:val="auto"/>
          <w:lang w:val="en-US" w:eastAsia="zh-CN"/>
        </w:rPr>
        <w:t>乙方</w:t>
      </w:r>
      <w:r>
        <w:rPr>
          <w:rFonts w:hint="default" w:ascii="Times New Roman" w:hAnsi="Times New Roman" w:cs="Times New Roman"/>
          <w:color w:val="auto"/>
        </w:rPr>
        <w:t>应根据</w:t>
      </w:r>
      <w:r>
        <w:rPr>
          <w:rFonts w:hint="default" w:ascii="Times New Roman" w:hAnsi="Times New Roman" w:cs="Times New Roman"/>
          <w:color w:val="auto"/>
          <w:lang w:eastAsia="zh-CN"/>
        </w:rPr>
        <w:t>采购</w:t>
      </w:r>
      <w:r>
        <w:rPr>
          <w:rFonts w:hint="default" w:ascii="Times New Roman" w:hAnsi="Times New Roman" w:cs="Times New Roman"/>
          <w:color w:val="auto"/>
        </w:rPr>
        <w:t>文件中《</w:t>
      </w:r>
      <w:r>
        <w:rPr>
          <w:rFonts w:hint="default" w:ascii="Times New Roman" w:hAnsi="Times New Roman" w:cs="Times New Roman"/>
          <w:color w:val="auto"/>
          <w:lang w:eastAsia="zh-CN"/>
        </w:rPr>
        <w:t>住院患者陪护服务</w:t>
      </w:r>
      <w:r>
        <w:rPr>
          <w:rFonts w:hint="default" w:ascii="Times New Roman" w:hAnsi="Times New Roman" w:cs="Times New Roman"/>
          <w:color w:val="auto"/>
        </w:rPr>
        <w:t>》</w:t>
      </w:r>
      <w:r>
        <w:rPr>
          <w:rFonts w:hint="eastAsia" w:ascii="Times New Roman" w:hAnsi="Times New Roman" w:cs="Times New Roman"/>
          <w:color w:val="auto"/>
          <w:lang w:eastAsia="zh-CN"/>
        </w:rPr>
        <w:t>，</w:t>
      </w:r>
      <w:r>
        <w:rPr>
          <w:rFonts w:hint="default" w:ascii="Times New Roman" w:hAnsi="Times New Roman" w:cs="Times New Roman"/>
          <w:color w:val="auto"/>
        </w:rPr>
        <w:t>明确承诺执行统一陪护收费标准，价格调整需报备并取得</w:t>
      </w:r>
      <w:r>
        <w:rPr>
          <w:rFonts w:hint="default" w:ascii="Times New Roman" w:hAnsi="Times New Roman" w:cs="Times New Roman"/>
          <w:color w:val="auto"/>
          <w:lang w:val="en-US" w:eastAsia="zh-CN"/>
        </w:rPr>
        <w:t>甲方</w:t>
      </w:r>
      <w:r>
        <w:rPr>
          <w:rFonts w:hint="default" w:ascii="Times New Roman" w:hAnsi="Times New Roman" w:cs="Times New Roman"/>
          <w:color w:val="auto"/>
        </w:rPr>
        <w:t>职能管理部门的书面同意</w:t>
      </w:r>
      <w:r>
        <w:rPr>
          <w:rFonts w:hint="eastAsia" w:ascii="Times New Roman" w:hAnsi="Times New Roman" w:cs="Times New Roman"/>
          <w:color w:val="auto"/>
          <w:lang w:eastAsia="zh-CN"/>
        </w:rPr>
        <w:t>，</w:t>
      </w:r>
      <w:r>
        <w:rPr>
          <w:rFonts w:hint="default" w:ascii="Times New Roman" w:hAnsi="Times New Roman" w:cs="Times New Roman"/>
          <w:color w:val="auto"/>
        </w:rPr>
        <w:t>且不得高于市场价格。</w:t>
      </w:r>
    </w:p>
    <w:p w14:paraId="0F5F6F8A">
      <w:pPr>
        <w:pStyle w:val="14"/>
        <w:bidi w:val="0"/>
        <w:rPr>
          <w:rFonts w:hint="default" w:ascii="Times New Roman" w:hAnsi="Times New Roman" w:cs="Times New Roman"/>
          <w:color w:val="auto"/>
        </w:rPr>
      </w:pPr>
      <w:r>
        <w:rPr>
          <w:rFonts w:hint="default" w:ascii="Times New Roman" w:hAnsi="Times New Roman" w:cs="Times New Roman"/>
          <w:color w:val="auto"/>
        </w:rPr>
        <w:t>4.不得转包或分包</w:t>
      </w:r>
    </w:p>
    <w:p w14:paraId="58D58CC0">
      <w:pPr>
        <w:pStyle w:val="14"/>
        <w:bidi w:val="0"/>
        <w:rPr>
          <w:rFonts w:hint="default" w:ascii="Times New Roman" w:hAnsi="Times New Roman" w:cs="Times New Roman"/>
          <w:color w:val="auto"/>
        </w:rPr>
      </w:pPr>
      <w:r>
        <w:rPr>
          <w:rFonts w:hint="default" w:ascii="Times New Roman" w:hAnsi="Times New Roman" w:cs="Times New Roman"/>
          <w:color w:val="auto"/>
        </w:rPr>
        <w:t>4.1本合同范围的服务，应由乙方直接服务，不得转让他人服务；</w:t>
      </w:r>
    </w:p>
    <w:p w14:paraId="34EF3E1E">
      <w:pPr>
        <w:pStyle w:val="14"/>
        <w:bidi w:val="0"/>
        <w:rPr>
          <w:rFonts w:hint="default" w:ascii="Times New Roman" w:hAnsi="Times New Roman" w:cs="Times New Roman"/>
          <w:color w:val="auto"/>
        </w:rPr>
      </w:pPr>
      <w:r>
        <w:rPr>
          <w:rFonts w:hint="default" w:ascii="Times New Roman" w:hAnsi="Times New Roman" w:cs="Times New Roman"/>
          <w:color w:val="auto"/>
        </w:rPr>
        <w:t>4.2非经甲方书面同意，乙方不得将本合同范围的服务全部或部分分包给他人服务；</w:t>
      </w:r>
    </w:p>
    <w:p w14:paraId="743F4CA2">
      <w:pPr>
        <w:pStyle w:val="14"/>
        <w:bidi w:val="0"/>
        <w:rPr>
          <w:rFonts w:hint="default" w:ascii="Times New Roman" w:hAnsi="Times New Roman" w:cs="Times New Roman"/>
          <w:color w:val="auto"/>
        </w:rPr>
      </w:pPr>
      <w:r>
        <w:rPr>
          <w:rFonts w:hint="default" w:ascii="Times New Roman" w:hAnsi="Times New Roman" w:cs="Times New Roman"/>
          <w:color w:val="auto"/>
        </w:rPr>
        <w:t>4.3如有转让和未经甲方同意的分包行为，甲方有权解除合同，没收履约保证金并追究乙方的违约责任。</w:t>
      </w:r>
    </w:p>
    <w:p w14:paraId="7FFD0354">
      <w:pPr>
        <w:pStyle w:val="14"/>
        <w:bidi w:val="0"/>
        <w:rPr>
          <w:rFonts w:hint="default" w:ascii="Times New Roman" w:hAnsi="Times New Roman" w:cs="Times New Roman"/>
          <w:color w:val="auto"/>
        </w:rPr>
      </w:pPr>
      <w:r>
        <w:rPr>
          <w:rFonts w:hint="default" w:ascii="Times New Roman" w:hAnsi="Times New Roman" w:cs="Times New Roman"/>
          <w:color w:val="auto"/>
          <w:lang w:val="en-US" w:eastAsia="zh-CN"/>
        </w:rPr>
        <w:t>5</w:t>
      </w:r>
      <w:r>
        <w:rPr>
          <w:rFonts w:hint="default" w:ascii="Times New Roman" w:hAnsi="Times New Roman" w:cs="Times New Roman"/>
          <w:color w:val="auto"/>
        </w:rPr>
        <w:t>.服务质量保证及验收方式</w:t>
      </w:r>
    </w:p>
    <w:p w14:paraId="7F4156DD">
      <w:pPr>
        <w:pStyle w:val="14"/>
        <w:bidi w:val="0"/>
        <w:rPr>
          <w:rFonts w:hint="default" w:ascii="Times New Roman" w:hAnsi="Times New Roman" w:cs="Times New Roman"/>
          <w:color w:val="auto"/>
          <w:lang w:val="zh-TW"/>
        </w:rPr>
      </w:pPr>
      <w:r>
        <w:rPr>
          <w:rFonts w:hint="default" w:ascii="Times New Roman" w:hAnsi="Times New Roman" w:cs="Times New Roman"/>
          <w:color w:val="auto"/>
          <w:lang w:val="en-US" w:eastAsia="zh-CN"/>
        </w:rPr>
        <w:t>5</w:t>
      </w:r>
      <w:r>
        <w:rPr>
          <w:rFonts w:hint="default" w:ascii="Times New Roman" w:hAnsi="Times New Roman" w:cs="Times New Roman"/>
          <w:color w:val="auto"/>
        </w:rPr>
        <w:t>.</w:t>
      </w:r>
      <w:r>
        <w:rPr>
          <w:rFonts w:hint="default" w:ascii="Times New Roman" w:hAnsi="Times New Roman" w:cs="Times New Roman"/>
          <w:color w:val="auto"/>
          <w:lang w:val="en-US" w:eastAsia="zh-CN"/>
        </w:rPr>
        <w:t>1</w:t>
      </w:r>
      <w:r>
        <w:rPr>
          <w:rFonts w:hint="default" w:ascii="Times New Roman" w:hAnsi="Times New Roman" w:cs="Times New Roman"/>
          <w:color w:val="auto"/>
        </w:rPr>
        <w:t>甲方职能管理部门有权对乙方的业务进行指导、监督；不定期的进行现场督查，发现问题及时与陪护公司管理人员沟通解决处理。</w:t>
      </w:r>
    </w:p>
    <w:p w14:paraId="0577F3E1">
      <w:pPr>
        <w:pStyle w:val="14"/>
        <w:bidi w:val="0"/>
        <w:rPr>
          <w:rFonts w:hint="default" w:ascii="Times New Roman" w:hAnsi="Times New Roman" w:cs="Times New Roman"/>
          <w:color w:val="auto"/>
        </w:rPr>
      </w:pPr>
      <w:r>
        <w:rPr>
          <w:rFonts w:hint="default" w:ascii="Times New Roman" w:hAnsi="Times New Roman" w:cs="Times New Roman"/>
          <w:color w:val="auto"/>
          <w:lang w:val="en-US" w:eastAsia="zh-CN"/>
        </w:rPr>
        <w:t>5</w:t>
      </w:r>
      <w:r>
        <w:rPr>
          <w:rFonts w:hint="default" w:ascii="Times New Roman" w:hAnsi="Times New Roman" w:cs="Times New Roman"/>
          <w:color w:val="auto"/>
        </w:rPr>
        <w:t>.</w:t>
      </w:r>
      <w:r>
        <w:rPr>
          <w:rFonts w:hint="default" w:ascii="Times New Roman" w:hAnsi="Times New Roman" w:cs="Times New Roman"/>
          <w:color w:val="auto"/>
          <w:lang w:val="en-US" w:eastAsia="zh-CN"/>
        </w:rPr>
        <w:t>2</w:t>
      </w:r>
      <w:r>
        <w:rPr>
          <w:rFonts w:hint="default" w:ascii="Times New Roman" w:hAnsi="Times New Roman" w:cs="Times New Roman"/>
          <w:color w:val="auto"/>
        </w:rPr>
        <w:t>乙方</w:t>
      </w:r>
      <w:r>
        <w:rPr>
          <w:rFonts w:hint="default" w:ascii="Times New Roman" w:hAnsi="Times New Roman" w:cs="Times New Roman"/>
          <w:color w:val="auto"/>
          <w:lang w:val="zh-TW"/>
        </w:rPr>
        <w:t>提供的服务未达到招标文件要求，且对</w:t>
      </w:r>
      <w:r>
        <w:rPr>
          <w:rFonts w:hint="default" w:ascii="Times New Roman" w:hAnsi="Times New Roman" w:cs="Times New Roman"/>
          <w:color w:val="auto"/>
        </w:rPr>
        <w:t>甲方</w:t>
      </w:r>
      <w:r>
        <w:rPr>
          <w:rFonts w:hint="default" w:ascii="Times New Roman" w:hAnsi="Times New Roman" w:cs="Times New Roman"/>
          <w:color w:val="auto"/>
          <w:lang w:val="zh-TW"/>
        </w:rPr>
        <w:t>造成损失的，由</w:t>
      </w:r>
      <w:r>
        <w:rPr>
          <w:rFonts w:hint="default" w:ascii="Times New Roman" w:hAnsi="Times New Roman" w:cs="Times New Roman"/>
          <w:color w:val="auto"/>
        </w:rPr>
        <w:t>乙方</w:t>
      </w:r>
      <w:r>
        <w:rPr>
          <w:rFonts w:hint="default" w:ascii="Times New Roman" w:hAnsi="Times New Roman" w:cs="Times New Roman"/>
          <w:color w:val="auto"/>
          <w:lang w:val="zh-TW"/>
        </w:rPr>
        <w:t>承担责任</w:t>
      </w:r>
      <w:r>
        <w:rPr>
          <w:rFonts w:hint="default" w:ascii="Times New Roman" w:hAnsi="Times New Roman" w:cs="Times New Roman"/>
          <w:color w:val="auto"/>
        </w:rPr>
        <w:t>。</w:t>
      </w:r>
    </w:p>
    <w:p w14:paraId="26D8AD77">
      <w:pPr>
        <w:pStyle w:val="14"/>
        <w:bidi w:val="0"/>
        <w:rPr>
          <w:rFonts w:hint="default" w:ascii="Times New Roman" w:hAnsi="Times New Roman" w:cs="Times New Roman"/>
          <w:color w:val="auto"/>
        </w:rPr>
      </w:pPr>
      <w:r>
        <w:rPr>
          <w:rFonts w:hint="default" w:ascii="Times New Roman" w:hAnsi="Times New Roman" w:cs="Times New Roman"/>
          <w:color w:val="auto"/>
          <w:lang w:val="en-US" w:eastAsia="zh-CN"/>
        </w:rPr>
        <w:t>6</w:t>
      </w:r>
      <w:r>
        <w:rPr>
          <w:rFonts w:hint="default" w:ascii="Times New Roman" w:hAnsi="Times New Roman" w:cs="Times New Roman"/>
          <w:color w:val="auto"/>
        </w:rPr>
        <w:t>.索赔</w:t>
      </w:r>
    </w:p>
    <w:p w14:paraId="6EF99540">
      <w:pPr>
        <w:pStyle w:val="14"/>
        <w:bidi w:val="0"/>
        <w:rPr>
          <w:rFonts w:hint="default" w:ascii="Times New Roman" w:hAnsi="Times New Roman" w:cs="Times New Roman"/>
          <w:color w:val="auto"/>
        </w:rPr>
      </w:pPr>
      <w:r>
        <w:rPr>
          <w:rFonts w:hint="default" w:ascii="Times New Roman" w:hAnsi="Times New Roman" w:cs="Times New Roman"/>
          <w:color w:val="auto"/>
        </w:rPr>
        <w:t>乙方对服务与合同要求不符负有责任，并且乙方必须做好服务质量保证，服务期间内若出现索赔，乙方应按医院的要求采取多种解决方法处理索赔事宜。</w:t>
      </w:r>
    </w:p>
    <w:p w14:paraId="762EE15E">
      <w:pPr>
        <w:pStyle w:val="14"/>
        <w:bidi w:val="0"/>
        <w:rPr>
          <w:rFonts w:hint="default" w:ascii="Times New Roman" w:hAnsi="Times New Roman" w:cs="Times New Roman"/>
          <w:color w:val="auto"/>
        </w:rPr>
      </w:pPr>
      <w:r>
        <w:rPr>
          <w:rFonts w:hint="default" w:ascii="Times New Roman" w:hAnsi="Times New Roman" w:cs="Times New Roman"/>
          <w:color w:val="auto"/>
          <w:lang w:val="en-US" w:eastAsia="zh-CN"/>
        </w:rPr>
        <w:t>7</w:t>
      </w:r>
      <w:r>
        <w:rPr>
          <w:rFonts w:hint="default" w:ascii="Times New Roman" w:hAnsi="Times New Roman" w:cs="Times New Roman"/>
          <w:color w:val="auto"/>
        </w:rPr>
        <w:t>.知识产权</w:t>
      </w:r>
    </w:p>
    <w:p w14:paraId="1BA9D7DE">
      <w:pPr>
        <w:pStyle w:val="14"/>
        <w:bidi w:val="0"/>
        <w:rPr>
          <w:rFonts w:hint="default" w:ascii="Times New Roman" w:hAnsi="Times New Roman" w:cs="Times New Roman"/>
          <w:color w:val="auto"/>
        </w:rPr>
      </w:pPr>
      <w:r>
        <w:rPr>
          <w:rFonts w:hint="default" w:ascii="Times New Roman" w:hAnsi="Times New Roman" w:cs="Times New Roman"/>
          <w:color w:val="auto"/>
        </w:rPr>
        <w:t>甲方在中华人民共和国境内使用乙方提供的服务时免受第三方提出的侵犯其专利权或其它知识产权的起诉。如果第三方提出侵权指控，乙方应承担由此而引起的一切法律责任和费用。</w:t>
      </w:r>
    </w:p>
    <w:p w14:paraId="47C83BC7">
      <w:pPr>
        <w:pStyle w:val="14"/>
        <w:bidi w:val="0"/>
        <w:rPr>
          <w:rFonts w:hint="default" w:ascii="Times New Roman" w:hAnsi="Times New Roman" w:cs="Times New Roman"/>
          <w:color w:val="auto"/>
        </w:rPr>
      </w:pPr>
      <w:r>
        <w:rPr>
          <w:rFonts w:hint="default" w:ascii="Times New Roman" w:hAnsi="Times New Roman" w:cs="Times New Roman"/>
          <w:color w:val="auto"/>
          <w:lang w:val="en-US" w:eastAsia="zh-CN"/>
        </w:rPr>
        <w:t>8</w:t>
      </w:r>
      <w:r>
        <w:rPr>
          <w:rFonts w:hint="default" w:ascii="Times New Roman" w:hAnsi="Times New Roman" w:cs="Times New Roman"/>
          <w:color w:val="auto"/>
        </w:rPr>
        <w:t>.合同争议的解决</w:t>
      </w:r>
    </w:p>
    <w:p w14:paraId="6E4C4DD4">
      <w:pPr>
        <w:pStyle w:val="14"/>
        <w:bidi w:val="0"/>
        <w:rPr>
          <w:rFonts w:hint="default" w:ascii="Times New Roman" w:hAnsi="Times New Roman" w:cs="Times New Roman"/>
          <w:color w:val="auto"/>
        </w:rPr>
      </w:pPr>
      <w:r>
        <w:rPr>
          <w:rFonts w:hint="default" w:ascii="Times New Roman" w:hAnsi="Times New Roman" w:cs="Times New Roman"/>
          <w:color w:val="auto"/>
          <w:lang w:val="en-US" w:eastAsia="zh-CN"/>
        </w:rPr>
        <w:t>8</w:t>
      </w:r>
      <w:r>
        <w:rPr>
          <w:rFonts w:hint="default" w:ascii="Times New Roman" w:hAnsi="Times New Roman" w:cs="Times New Roman"/>
          <w:color w:val="auto"/>
        </w:rPr>
        <w:t>.1当事人友好协商达成一致</w:t>
      </w:r>
    </w:p>
    <w:p w14:paraId="66504E7D">
      <w:pPr>
        <w:pStyle w:val="14"/>
        <w:bidi w:val="0"/>
        <w:rPr>
          <w:rFonts w:hint="default" w:ascii="Times New Roman" w:hAnsi="Times New Roman" w:cs="Times New Roman"/>
          <w:color w:val="auto"/>
        </w:rPr>
      </w:pPr>
      <w:r>
        <w:rPr>
          <w:rFonts w:hint="default" w:ascii="Times New Roman" w:hAnsi="Times New Roman" w:cs="Times New Roman"/>
          <w:color w:val="auto"/>
          <w:lang w:val="en-US" w:eastAsia="zh-CN"/>
        </w:rPr>
        <w:t>8</w:t>
      </w:r>
      <w:r>
        <w:rPr>
          <w:rFonts w:hint="default" w:ascii="Times New Roman" w:hAnsi="Times New Roman" w:cs="Times New Roman"/>
          <w:color w:val="auto"/>
        </w:rPr>
        <w:t>.2在60天内当事人协商不能达成协议的，可提请甲方所在地仲裁机构仲裁。</w:t>
      </w:r>
    </w:p>
    <w:p w14:paraId="4E6DB524">
      <w:pPr>
        <w:pStyle w:val="14"/>
        <w:bidi w:val="0"/>
        <w:rPr>
          <w:rFonts w:hint="default" w:ascii="Times New Roman" w:hAnsi="Times New Roman" w:cs="Times New Roman"/>
          <w:color w:val="auto"/>
        </w:rPr>
      </w:pPr>
      <w:r>
        <w:rPr>
          <w:rFonts w:hint="default" w:ascii="Times New Roman" w:hAnsi="Times New Roman" w:cs="Times New Roman"/>
          <w:color w:val="auto"/>
          <w:lang w:val="en-US" w:eastAsia="zh-CN"/>
        </w:rPr>
        <w:t>9</w:t>
      </w:r>
      <w:r>
        <w:rPr>
          <w:rFonts w:hint="default" w:ascii="Times New Roman" w:hAnsi="Times New Roman" w:cs="Times New Roman"/>
          <w:color w:val="auto"/>
        </w:rPr>
        <w:t>.违约责任</w:t>
      </w:r>
    </w:p>
    <w:p w14:paraId="44A8A3F0">
      <w:pPr>
        <w:pStyle w:val="14"/>
        <w:bidi w:val="0"/>
        <w:rPr>
          <w:rFonts w:hint="default" w:ascii="Times New Roman" w:hAnsi="Times New Roman" w:cs="Times New Roman"/>
          <w:color w:val="auto"/>
        </w:rPr>
      </w:pPr>
      <w:r>
        <w:rPr>
          <w:rFonts w:hint="default" w:ascii="Times New Roman" w:hAnsi="Times New Roman" w:cs="Times New Roman"/>
          <w:color w:val="auto"/>
        </w:rPr>
        <w:t>按《中华人民共和国民法典》、《中华人民共和国招标投标法》有关条款，或由供需双方约定。</w:t>
      </w:r>
    </w:p>
    <w:p w14:paraId="3F18951F">
      <w:pPr>
        <w:pStyle w:val="14"/>
        <w:bidi w:val="0"/>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0</w:t>
      </w:r>
      <w:r>
        <w:rPr>
          <w:rFonts w:hint="default" w:ascii="Times New Roman" w:hAnsi="Times New Roman" w:cs="Times New Roman"/>
          <w:color w:val="auto"/>
        </w:rPr>
        <w:t>.合同生效及其它</w:t>
      </w:r>
    </w:p>
    <w:p w14:paraId="04A4C4CA">
      <w:pPr>
        <w:pStyle w:val="14"/>
        <w:bidi w:val="0"/>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0</w:t>
      </w:r>
      <w:r>
        <w:rPr>
          <w:rFonts w:hint="default" w:ascii="Times New Roman" w:hAnsi="Times New Roman" w:cs="Times New Roman"/>
          <w:color w:val="auto"/>
        </w:rPr>
        <w:t>.1合同生效及其效力应符合《中华人民共和国民法典》有关规定。</w:t>
      </w:r>
    </w:p>
    <w:p w14:paraId="18F19F14">
      <w:pPr>
        <w:pStyle w:val="14"/>
        <w:bidi w:val="0"/>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0</w:t>
      </w:r>
      <w:r>
        <w:rPr>
          <w:rFonts w:hint="default" w:ascii="Times New Roman" w:hAnsi="Times New Roman" w:cs="Times New Roman"/>
          <w:color w:val="auto"/>
        </w:rPr>
        <w:t>.2合同应经当事人法定代表人或委托代理人签字，加盖双方合同专用章或公章。</w:t>
      </w:r>
    </w:p>
    <w:p w14:paraId="39BD1DF5">
      <w:pPr>
        <w:pStyle w:val="14"/>
        <w:bidi w:val="0"/>
        <w:rPr>
          <w:rFonts w:hint="default" w:ascii="Times New Roman" w:hAnsi="Times New Roman" w:cs="Times New Roman"/>
          <w:color w:val="auto"/>
        </w:rPr>
      </w:pPr>
      <w:r>
        <w:rPr>
          <w:rFonts w:hint="default" w:ascii="Times New Roman" w:hAnsi="Times New Roman" w:cs="Times New Roman"/>
          <w:color w:val="auto"/>
        </w:rPr>
        <w:t>1</w:t>
      </w:r>
      <w:r>
        <w:rPr>
          <w:rFonts w:hint="default" w:ascii="Times New Roman" w:hAnsi="Times New Roman" w:cs="Times New Roman"/>
          <w:color w:val="auto"/>
          <w:lang w:val="en-US" w:eastAsia="zh-CN"/>
        </w:rPr>
        <w:t>0</w:t>
      </w:r>
      <w:r>
        <w:rPr>
          <w:rFonts w:hint="default" w:ascii="Times New Roman" w:hAnsi="Times New Roman" w:cs="Times New Roman"/>
          <w:color w:val="auto"/>
        </w:rPr>
        <w:t>.3合同所包括附件，是合同不可分割的一部分，具有同等</w:t>
      </w:r>
      <w:r>
        <w:rPr>
          <w:rFonts w:hint="eastAsia" w:ascii="Times New Roman" w:hAnsi="Times New Roman" w:cs="Times New Roman"/>
          <w:color w:val="auto"/>
          <w:lang w:eastAsia="zh-CN"/>
        </w:rPr>
        <w:t>法律效力</w:t>
      </w:r>
      <w:r>
        <w:rPr>
          <w:rFonts w:hint="default" w:ascii="Times New Roman" w:hAnsi="Times New Roman" w:cs="Times New Roman"/>
          <w:color w:val="auto"/>
        </w:rPr>
        <w:t>。</w:t>
      </w:r>
    </w:p>
    <w:p w14:paraId="03751C5E">
      <w:pPr>
        <w:pStyle w:val="14"/>
        <w:bidi w:val="0"/>
        <w:rPr>
          <w:rFonts w:hint="default" w:ascii="Times New Roman" w:hAnsi="Times New Roman" w:eastAsia="方正仿宋_GBK" w:cs="Times New Roman"/>
          <w:color w:val="auto"/>
          <w:lang w:eastAsia="zh-CN"/>
        </w:rPr>
      </w:pPr>
      <w:r>
        <w:rPr>
          <w:rFonts w:hint="default" w:ascii="Times New Roman" w:hAnsi="Times New Roman" w:cs="Times New Roman"/>
          <w:color w:val="auto"/>
        </w:rPr>
        <w:t>1</w:t>
      </w:r>
      <w:r>
        <w:rPr>
          <w:rFonts w:hint="default" w:ascii="Times New Roman" w:hAnsi="Times New Roman" w:cs="Times New Roman"/>
          <w:color w:val="auto"/>
          <w:lang w:val="en-US" w:eastAsia="zh-CN"/>
        </w:rPr>
        <w:t>0</w:t>
      </w:r>
      <w:r>
        <w:rPr>
          <w:rFonts w:hint="default" w:ascii="Times New Roman" w:hAnsi="Times New Roman" w:cs="Times New Roman"/>
          <w:color w:val="auto"/>
        </w:rPr>
        <w:t>.4本合同条件未尽事宜依照《中华人民共和国民法典》，由供需双方共同协商确定</w:t>
      </w:r>
      <w:bookmarkEnd w:id="112"/>
      <w:bookmarkEnd w:id="113"/>
      <w:bookmarkEnd w:id="114"/>
      <w:bookmarkStart w:id="117" w:name="_Toc23872"/>
      <w:r>
        <w:rPr>
          <w:rFonts w:hint="default" w:ascii="Times New Roman" w:hAnsi="Times New Roman" w:cs="Times New Roman"/>
          <w:color w:val="auto"/>
          <w:lang w:eastAsia="zh-CN"/>
        </w:rPr>
        <w:t>。</w:t>
      </w:r>
    </w:p>
    <w:p w14:paraId="502D44C1">
      <w:pPr>
        <w:pStyle w:val="14"/>
        <w:bidi w:val="0"/>
        <w:rPr>
          <w:rStyle w:val="23"/>
          <w:rFonts w:hint="default" w:ascii="Times New Roman" w:hAnsi="Times New Roman" w:cs="Times New Roman"/>
          <w:color w:val="auto"/>
        </w:rPr>
        <w:sectPr>
          <w:pgSz w:w="11907" w:h="16840"/>
          <w:pgMar w:top="1134" w:right="1191" w:bottom="1134" w:left="1304" w:header="851" w:footer="992" w:gutter="0"/>
          <w:pgNumType w:fmt="decimal"/>
          <w:cols w:space="720" w:num="1"/>
          <w:docGrid w:linePitch="380" w:charSpace="-5735"/>
        </w:sectPr>
      </w:pPr>
      <w:r>
        <w:rPr>
          <w:rStyle w:val="23"/>
          <w:rFonts w:hint="default" w:ascii="Times New Roman" w:hAnsi="Times New Roman" w:cs="Times New Roman"/>
          <w:color w:val="auto"/>
        </w:rPr>
        <w:t>二、采购合同（格式</w:t>
      </w:r>
      <w:r>
        <w:rPr>
          <w:rStyle w:val="23"/>
          <w:rFonts w:hint="default" w:ascii="Times New Roman" w:hAnsi="Times New Roman" w:cs="Times New Roman"/>
          <w:color w:val="auto"/>
          <w:lang w:val="en-US" w:eastAsia="zh-CN"/>
        </w:rPr>
        <w:t>自拟</w:t>
      </w:r>
      <w:r>
        <w:rPr>
          <w:rStyle w:val="23"/>
          <w:rFonts w:hint="default" w:ascii="Times New Roman" w:hAnsi="Times New Roman" w:cs="Times New Roman"/>
          <w:color w:val="auto"/>
        </w:rPr>
        <w:t>）</w:t>
      </w:r>
      <w:bookmarkEnd w:id="117"/>
    </w:p>
    <w:bookmarkEnd w:id="115"/>
    <w:bookmarkEnd w:id="116"/>
    <w:p w14:paraId="27630FC7">
      <w:pPr>
        <w:pStyle w:val="16"/>
        <w:bidi w:val="0"/>
        <w:rPr>
          <w:rFonts w:hint="default" w:ascii="Times New Roman" w:hAnsi="Times New Roman" w:eastAsia="仿宋" w:cs="Times New Roman"/>
          <w:b/>
          <w:bCs/>
          <w:color w:val="auto"/>
          <w:szCs w:val="24"/>
          <w:lang w:val="en-US" w:eastAsia="zh-CN"/>
        </w:rPr>
      </w:pPr>
      <w:bookmarkStart w:id="118" w:name="_Toc30317"/>
      <w:r>
        <w:rPr>
          <w:rFonts w:hint="default" w:ascii="Times New Roman" w:hAnsi="Times New Roman" w:cs="Times New Roman"/>
          <w:color w:val="auto"/>
          <w:lang w:val="en-US" w:eastAsia="zh-CN"/>
        </w:rPr>
        <w:t xml:space="preserve">第六篇 </w:t>
      </w:r>
      <w:bookmarkEnd w:id="118"/>
      <w:r>
        <w:rPr>
          <w:rFonts w:hint="default" w:ascii="Times New Roman" w:hAnsi="Times New Roman" w:cs="Times New Roman"/>
          <w:color w:val="auto"/>
          <w:lang w:val="en-US" w:eastAsia="zh-CN"/>
        </w:rPr>
        <w:t>响应文件格式要求</w:t>
      </w:r>
    </w:p>
    <w:p w14:paraId="332642BF">
      <w:pPr>
        <w:jc w:val="center"/>
        <w:outlineLvl w:val="0"/>
        <w:rPr>
          <w:rFonts w:hint="default" w:ascii="Times New Roman" w:hAnsi="Times New Roman" w:eastAsia="仿宋" w:cs="Times New Roman"/>
          <w:color w:val="auto"/>
          <w:kern w:val="2"/>
          <w:sz w:val="24"/>
          <w:szCs w:val="24"/>
          <w:highlight w:val="none"/>
          <w:lang w:val="en-US" w:eastAsia="zh-CN" w:bidi="ar-SA"/>
        </w:rPr>
      </w:pPr>
      <w:r>
        <w:rPr>
          <w:rFonts w:hint="default" w:ascii="Times New Roman" w:hAnsi="Times New Roman" w:eastAsia="仿宋" w:cs="Times New Roman"/>
          <w:b/>
          <w:color w:val="auto"/>
          <w:kern w:val="0"/>
          <w:sz w:val="24"/>
          <w:szCs w:val="24"/>
          <w:highlight w:val="none"/>
          <w:lang w:val="en-US" w:eastAsia="zh-CN" w:bidi="ar-SA"/>
        </w:rPr>
        <w:t xml:space="preserve"> </w:t>
      </w:r>
    </w:p>
    <w:p w14:paraId="7627B258">
      <w:pPr>
        <w:pStyle w:val="15"/>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一、经济部分</w:t>
      </w:r>
    </w:p>
    <w:p w14:paraId="75655EB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报价函</w:t>
      </w:r>
    </w:p>
    <w:p w14:paraId="31F3714C">
      <w:pPr>
        <w:pStyle w:val="15"/>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二、服务部分</w:t>
      </w:r>
    </w:p>
    <w:p w14:paraId="23894A55">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服务需求响应偏离表</w:t>
      </w:r>
    </w:p>
    <w:p w14:paraId="729453CE">
      <w:pPr>
        <w:pStyle w:val="15"/>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三、商务部分</w:t>
      </w:r>
    </w:p>
    <w:p w14:paraId="03C9F982">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（一）商务响应偏离表</w:t>
      </w:r>
    </w:p>
    <w:p w14:paraId="34EB6955">
      <w:pPr>
        <w:pStyle w:val="15"/>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四、资格条件及其他</w:t>
      </w:r>
    </w:p>
    <w:p w14:paraId="1E061E76">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（一）法人营业执照（副本）复印件</w:t>
      </w:r>
    </w:p>
    <w:p w14:paraId="0D78CF6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（二）法定代表人身份证明书（格式）</w:t>
      </w:r>
    </w:p>
    <w:p w14:paraId="1ABFACC3">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（三）法定代表人授权委托书（格式）</w:t>
      </w:r>
    </w:p>
    <w:p w14:paraId="3321CA88">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（四）基本资格条件承诺函（格式）</w:t>
      </w:r>
    </w:p>
    <w:p w14:paraId="100ED1AF">
      <w:pPr>
        <w:pStyle w:val="15"/>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五、其他资料</w:t>
      </w:r>
    </w:p>
    <w:p w14:paraId="125C2A05">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其他与项目有关的资料（自附）</w:t>
      </w:r>
    </w:p>
    <w:p w14:paraId="7ACCABD1">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default" w:ascii="Times New Roman" w:hAnsi="Times New Roman" w:eastAsia="仿宋" w:cs="Times New Roman"/>
          <w:b w:val="0"/>
          <w:bCs w:val="0"/>
          <w:color w:val="auto"/>
          <w:sz w:val="24"/>
          <w:szCs w:val="24"/>
          <w:bdr w:val="single" w:color="auto" w:sz="4" w:space="0"/>
        </w:rPr>
        <w:sectPr>
          <w:pgSz w:w="11907" w:h="16840"/>
          <w:pgMar w:top="1134" w:right="1191" w:bottom="1134" w:left="1304" w:header="851" w:footer="992" w:gutter="0"/>
          <w:pgNumType w:fmt="decimal"/>
          <w:cols w:space="720" w:num="1"/>
          <w:docGrid w:linePitch="380" w:charSpace="-5735"/>
        </w:sectPr>
      </w:pPr>
    </w:p>
    <w:p w14:paraId="22553563">
      <w:pPr>
        <w:pStyle w:val="15"/>
        <w:bidi w:val="0"/>
        <w:rPr>
          <w:rFonts w:hint="default" w:ascii="Times New Roman" w:hAnsi="Times New Roman" w:cs="Times New Roman"/>
          <w:color w:val="auto"/>
          <w:lang w:val="en-US" w:eastAsia="zh-CN"/>
        </w:rPr>
      </w:pPr>
      <w:bookmarkStart w:id="119" w:name="_Toc26343"/>
      <w:bookmarkStart w:id="120" w:name="_Toc14244"/>
      <w:bookmarkStart w:id="121" w:name="_Toc342913419"/>
      <w:bookmarkStart w:id="122" w:name="_Toc313888360"/>
      <w:bookmarkStart w:id="123" w:name="_Toc106034659"/>
      <w:bookmarkStart w:id="124" w:name="_Toc65660379"/>
      <w:bookmarkStart w:id="125" w:name="_Toc313008356"/>
      <w:bookmarkStart w:id="126" w:name="_Toc283382454"/>
      <w:bookmarkStart w:id="127" w:name="_Toc12789073"/>
      <w:r>
        <w:rPr>
          <w:rFonts w:hint="default" w:ascii="Times New Roman" w:hAnsi="Times New Roman" w:cs="Times New Roman"/>
          <w:color w:val="auto"/>
          <w:lang w:val="en-US" w:eastAsia="zh-CN"/>
        </w:rPr>
        <w:t>一、经济部分</w:t>
      </w:r>
      <w:bookmarkEnd w:id="119"/>
      <w:bookmarkEnd w:id="120"/>
      <w:bookmarkEnd w:id="121"/>
      <w:bookmarkEnd w:id="122"/>
      <w:bookmarkEnd w:id="123"/>
      <w:bookmarkEnd w:id="124"/>
      <w:bookmarkEnd w:id="125"/>
    </w:p>
    <w:bookmarkEnd w:id="126"/>
    <w:bookmarkEnd w:id="127"/>
    <w:p w14:paraId="27DB3659">
      <w:pPr>
        <w:pStyle w:val="14"/>
        <w:bidi w:val="0"/>
        <w:jc w:val="center"/>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报价函</w:t>
      </w:r>
    </w:p>
    <w:p w14:paraId="3CB94486">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（采购人名称）：</w:t>
      </w:r>
    </w:p>
    <w:p w14:paraId="748ABB0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我方收到_______________________________（项目名称）的采购文件，经详细研究，决定参加该项目的采购报价。</w:t>
      </w:r>
    </w:p>
    <w:p w14:paraId="76BCB26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（一）愿意按照采购文件中的一切要求，提供本项目的技术服务，项目具体报价见下表：</w:t>
      </w:r>
    </w:p>
    <w:tbl>
      <w:tblPr>
        <w:tblStyle w:val="10"/>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074"/>
        <w:gridCol w:w="2034"/>
        <w:gridCol w:w="2106"/>
        <w:gridCol w:w="2111"/>
        <w:gridCol w:w="2111"/>
      </w:tblGrid>
      <w:tr w14:paraId="17FF1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69" w:type="pct"/>
            <w:shd w:val="clear" w:color="auto" w:fill="auto"/>
            <w:tcMar>
              <w:top w:w="15" w:type="dxa"/>
              <w:left w:w="15" w:type="dxa"/>
              <w:right w:w="15" w:type="dxa"/>
            </w:tcMar>
            <w:vAlign w:val="center"/>
          </w:tcPr>
          <w:p w14:paraId="394C97D5">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both"/>
              <w:textAlignment w:val="auto"/>
              <w:rPr>
                <w:rFonts w:hint="default" w:ascii="Times New Roman" w:hAnsi="Times New Roman" w:eastAsia="方正黑体_GBK" w:cs="Times New Roman"/>
                <w:color w:val="auto"/>
                <w:kern w:val="2"/>
                <w:sz w:val="21"/>
                <w:szCs w:val="21"/>
                <w:highlight w:val="none"/>
                <w:lang w:val="en-US" w:eastAsia="zh-CN" w:bidi="ar-SA"/>
              </w:rPr>
            </w:pPr>
            <w:r>
              <w:rPr>
                <w:rFonts w:hint="default" w:ascii="Times New Roman" w:hAnsi="Times New Roman" w:eastAsia="方正黑体_GBK" w:cs="Times New Roman"/>
                <w:color w:val="auto"/>
                <w:kern w:val="2"/>
                <w:sz w:val="21"/>
                <w:szCs w:val="21"/>
                <w:highlight w:val="none"/>
                <w:lang w:val="en-US" w:eastAsia="zh-CN" w:bidi="ar-SA"/>
              </w:rPr>
              <w:t>序号</w:t>
            </w:r>
          </w:p>
        </w:tc>
        <w:tc>
          <w:tcPr>
            <w:tcW w:w="1077" w:type="pct"/>
            <w:shd w:val="clear" w:color="auto" w:fill="auto"/>
            <w:tcMar>
              <w:top w:w="15" w:type="dxa"/>
              <w:left w:w="15" w:type="dxa"/>
              <w:right w:w="15" w:type="dxa"/>
            </w:tcMar>
            <w:vAlign w:val="center"/>
          </w:tcPr>
          <w:p w14:paraId="00D60A9B">
            <w:pPr>
              <w:keepNext w:val="0"/>
              <w:keepLines w:val="0"/>
              <w:pageBreakBefore w:val="0"/>
              <w:widowControl w:val="0"/>
              <w:kinsoku/>
              <w:wordWrap/>
              <w:overflowPunct/>
              <w:topLinePunct w:val="0"/>
              <w:autoSpaceDE/>
              <w:autoSpaceDN/>
              <w:bidi w:val="0"/>
              <w:adjustRightInd/>
              <w:snapToGrid w:val="0"/>
              <w:spacing w:line="480" w:lineRule="exact"/>
              <w:ind w:firstLine="420" w:firstLineChars="200"/>
              <w:jc w:val="both"/>
              <w:textAlignment w:val="auto"/>
              <w:rPr>
                <w:rFonts w:hint="default" w:ascii="Times New Roman" w:hAnsi="Times New Roman" w:eastAsia="方正黑体_GBK" w:cs="Times New Roman"/>
                <w:color w:val="auto"/>
                <w:kern w:val="2"/>
                <w:sz w:val="21"/>
                <w:szCs w:val="21"/>
                <w:highlight w:val="none"/>
                <w:lang w:val="en-US" w:eastAsia="zh-CN" w:bidi="ar-SA"/>
              </w:rPr>
            </w:pPr>
            <w:r>
              <w:rPr>
                <w:rFonts w:hint="default" w:ascii="Times New Roman" w:hAnsi="Times New Roman" w:eastAsia="方正黑体_GBK" w:cs="Times New Roman"/>
                <w:color w:val="auto"/>
                <w:kern w:val="2"/>
                <w:sz w:val="21"/>
                <w:szCs w:val="21"/>
                <w:highlight w:val="none"/>
                <w:lang w:val="en-US" w:eastAsia="zh-CN" w:bidi="ar-SA"/>
              </w:rPr>
              <w:t>陪护项目</w:t>
            </w:r>
          </w:p>
        </w:tc>
        <w:tc>
          <w:tcPr>
            <w:tcW w:w="1115" w:type="pct"/>
            <w:shd w:val="clear" w:color="auto" w:fill="auto"/>
            <w:tcMar>
              <w:top w:w="15" w:type="dxa"/>
              <w:left w:w="15" w:type="dxa"/>
              <w:right w:w="15" w:type="dxa"/>
            </w:tcMar>
            <w:vAlign w:val="center"/>
          </w:tcPr>
          <w:p w14:paraId="0AF93CED">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auto"/>
                <w:kern w:val="2"/>
                <w:sz w:val="21"/>
                <w:szCs w:val="21"/>
                <w:highlight w:val="none"/>
                <w:lang w:val="en-US" w:eastAsia="zh-CN" w:bidi="ar-SA"/>
              </w:rPr>
            </w:pPr>
            <w:r>
              <w:rPr>
                <w:rFonts w:hint="default" w:ascii="Times New Roman" w:hAnsi="Times New Roman" w:eastAsia="方正黑体_GBK" w:cs="Times New Roman"/>
                <w:color w:val="auto"/>
                <w:kern w:val="2"/>
                <w:sz w:val="21"/>
                <w:szCs w:val="21"/>
                <w:highlight w:val="none"/>
                <w:lang w:val="en-US" w:eastAsia="zh-CN" w:bidi="ar-SA"/>
              </w:rPr>
              <w:t>单价（元/天/人）</w:t>
            </w:r>
          </w:p>
        </w:tc>
        <w:tc>
          <w:tcPr>
            <w:tcW w:w="1118" w:type="pct"/>
            <w:shd w:val="clear" w:color="auto" w:fill="auto"/>
            <w:tcMar>
              <w:top w:w="15" w:type="dxa"/>
              <w:left w:w="15" w:type="dxa"/>
              <w:right w:w="15" w:type="dxa"/>
            </w:tcMar>
            <w:vAlign w:val="center"/>
          </w:tcPr>
          <w:p w14:paraId="633F7811">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auto"/>
                <w:kern w:val="2"/>
                <w:sz w:val="21"/>
                <w:szCs w:val="21"/>
                <w:highlight w:val="none"/>
                <w:lang w:val="en-US" w:eastAsia="zh-CN" w:bidi="ar-SA"/>
              </w:rPr>
            </w:pPr>
            <w:r>
              <w:rPr>
                <w:rFonts w:hint="default" w:ascii="Times New Roman" w:hAnsi="Times New Roman" w:eastAsia="方正黑体_GBK" w:cs="Times New Roman"/>
                <w:color w:val="auto"/>
                <w:kern w:val="2"/>
                <w:sz w:val="21"/>
                <w:szCs w:val="21"/>
                <w:highlight w:val="none"/>
                <w:lang w:val="en-US" w:eastAsia="zh-CN" w:bidi="ar-SA"/>
              </w:rPr>
              <w:t>下浮比例（%）</w:t>
            </w:r>
          </w:p>
        </w:tc>
        <w:tc>
          <w:tcPr>
            <w:tcW w:w="1118" w:type="pct"/>
            <w:shd w:val="clear" w:color="auto" w:fill="auto"/>
            <w:tcMar>
              <w:top w:w="15" w:type="dxa"/>
              <w:left w:w="15" w:type="dxa"/>
              <w:right w:w="15" w:type="dxa"/>
            </w:tcMar>
            <w:vAlign w:val="center"/>
          </w:tcPr>
          <w:p w14:paraId="1B5643A1">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auto"/>
                <w:kern w:val="2"/>
                <w:sz w:val="21"/>
                <w:szCs w:val="21"/>
                <w:highlight w:val="none"/>
                <w:lang w:val="en-US" w:eastAsia="zh-CN" w:bidi="ar-SA"/>
              </w:rPr>
            </w:pPr>
            <w:r>
              <w:rPr>
                <w:rFonts w:hint="default" w:ascii="Times New Roman" w:hAnsi="Times New Roman" w:eastAsia="方正黑体_GBK" w:cs="Times New Roman"/>
                <w:color w:val="auto"/>
                <w:kern w:val="2"/>
                <w:sz w:val="21"/>
                <w:szCs w:val="21"/>
                <w:highlight w:val="none"/>
                <w:lang w:val="en-US" w:eastAsia="zh-CN" w:bidi="ar-SA"/>
              </w:rPr>
              <w:t>备注</w:t>
            </w:r>
          </w:p>
        </w:tc>
      </w:tr>
      <w:tr w14:paraId="6C59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69" w:type="pct"/>
            <w:tcMar>
              <w:top w:w="15" w:type="dxa"/>
              <w:left w:w="15" w:type="dxa"/>
              <w:right w:w="15" w:type="dxa"/>
            </w:tcMar>
            <w:vAlign w:val="center"/>
          </w:tcPr>
          <w:p w14:paraId="40E386D1">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1</w:t>
            </w:r>
          </w:p>
        </w:tc>
        <w:tc>
          <w:tcPr>
            <w:tcW w:w="1077" w:type="pct"/>
            <w:shd w:val="clear" w:color="auto" w:fill="auto"/>
            <w:tcMar>
              <w:top w:w="15" w:type="dxa"/>
              <w:left w:w="15" w:type="dxa"/>
              <w:right w:w="15" w:type="dxa"/>
            </w:tcMar>
            <w:vAlign w:val="center"/>
          </w:tcPr>
          <w:p w14:paraId="2E12AB72">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一对一陪护</w:t>
            </w:r>
          </w:p>
        </w:tc>
        <w:tc>
          <w:tcPr>
            <w:tcW w:w="1115" w:type="pct"/>
            <w:tcMar>
              <w:top w:w="15" w:type="dxa"/>
              <w:left w:w="15" w:type="dxa"/>
              <w:right w:w="15" w:type="dxa"/>
            </w:tcMar>
            <w:vAlign w:val="center"/>
          </w:tcPr>
          <w:p w14:paraId="4989C6D3">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1118" w:type="pct"/>
            <w:tcMar>
              <w:top w:w="15" w:type="dxa"/>
              <w:left w:w="15" w:type="dxa"/>
              <w:right w:w="15" w:type="dxa"/>
            </w:tcMar>
            <w:vAlign w:val="center"/>
          </w:tcPr>
          <w:p w14:paraId="3C6523CA">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1118" w:type="pct"/>
            <w:tcMar>
              <w:top w:w="15" w:type="dxa"/>
              <w:left w:w="15" w:type="dxa"/>
              <w:right w:w="15" w:type="dxa"/>
            </w:tcMar>
            <w:vAlign w:val="center"/>
          </w:tcPr>
          <w:p w14:paraId="20CEB73E">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r>
      <w:tr w14:paraId="0B807B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69" w:type="pct"/>
            <w:tcMar>
              <w:top w:w="15" w:type="dxa"/>
              <w:left w:w="15" w:type="dxa"/>
              <w:right w:w="15" w:type="dxa"/>
            </w:tcMar>
            <w:vAlign w:val="center"/>
          </w:tcPr>
          <w:p w14:paraId="1EE0606D">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2</w:t>
            </w:r>
          </w:p>
        </w:tc>
        <w:tc>
          <w:tcPr>
            <w:tcW w:w="1077" w:type="pct"/>
            <w:shd w:val="clear" w:color="auto" w:fill="auto"/>
            <w:tcMar>
              <w:top w:w="15" w:type="dxa"/>
              <w:left w:w="15" w:type="dxa"/>
              <w:right w:w="15" w:type="dxa"/>
            </w:tcMar>
            <w:vAlign w:val="center"/>
          </w:tcPr>
          <w:p w14:paraId="734EB7FF">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一对二陪护</w:t>
            </w:r>
          </w:p>
        </w:tc>
        <w:tc>
          <w:tcPr>
            <w:tcW w:w="1115" w:type="pct"/>
            <w:tcMar>
              <w:top w:w="15" w:type="dxa"/>
              <w:left w:w="15" w:type="dxa"/>
              <w:right w:w="15" w:type="dxa"/>
            </w:tcMar>
            <w:vAlign w:val="center"/>
          </w:tcPr>
          <w:p w14:paraId="7B37B133">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1118" w:type="pct"/>
            <w:tcMar>
              <w:top w:w="15" w:type="dxa"/>
              <w:left w:w="15" w:type="dxa"/>
              <w:right w:w="15" w:type="dxa"/>
            </w:tcMar>
            <w:vAlign w:val="center"/>
          </w:tcPr>
          <w:p w14:paraId="0F3EF16B">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1118" w:type="pct"/>
            <w:tcMar>
              <w:top w:w="15" w:type="dxa"/>
              <w:left w:w="15" w:type="dxa"/>
              <w:right w:w="15" w:type="dxa"/>
            </w:tcMar>
            <w:vAlign w:val="center"/>
          </w:tcPr>
          <w:p w14:paraId="6B0F5264">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r>
      <w:tr w14:paraId="41E3E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73" w:hRule="atLeast"/>
          <w:jc w:val="center"/>
        </w:trPr>
        <w:tc>
          <w:tcPr>
            <w:tcW w:w="569" w:type="pct"/>
            <w:tcMar>
              <w:top w:w="15" w:type="dxa"/>
              <w:left w:w="15" w:type="dxa"/>
              <w:right w:w="15" w:type="dxa"/>
            </w:tcMar>
            <w:vAlign w:val="center"/>
          </w:tcPr>
          <w:p w14:paraId="6F2832A9">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3</w:t>
            </w:r>
          </w:p>
        </w:tc>
        <w:tc>
          <w:tcPr>
            <w:tcW w:w="1077" w:type="pct"/>
            <w:shd w:val="clear" w:color="auto" w:fill="auto"/>
            <w:tcMar>
              <w:top w:w="15" w:type="dxa"/>
              <w:left w:w="15" w:type="dxa"/>
              <w:right w:w="15" w:type="dxa"/>
            </w:tcMar>
            <w:vAlign w:val="center"/>
          </w:tcPr>
          <w:p w14:paraId="488399AD">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一对三陪护</w:t>
            </w:r>
          </w:p>
        </w:tc>
        <w:tc>
          <w:tcPr>
            <w:tcW w:w="1115" w:type="pct"/>
            <w:tcMar>
              <w:top w:w="15" w:type="dxa"/>
              <w:left w:w="15" w:type="dxa"/>
              <w:right w:w="15" w:type="dxa"/>
            </w:tcMar>
            <w:vAlign w:val="center"/>
          </w:tcPr>
          <w:p w14:paraId="1FC20589">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1118" w:type="pct"/>
            <w:tcMar>
              <w:top w:w="15" w:type="dxa"/>
              <w:left w:w="15" w:type="dxa"/>
              <w:right w:w="15" w:type="dxa"/>
            </w:tcMar>
            <w:vAlign w:val="center"/>
          </w:tcPr>
          <w:p w14:paraId="44B83950">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1118" w:type="pct"/>
            <w:tcMar>
              <w:top w:w="15" w:type="dxa"/>
              <w:left w:w="15" w:type="dxa"/>
              <w:right w:w="15" w:type="dxa"/>
            </w:tcMar>
            <w:vAlign w:val="center"/>
          </w:tcPr>
          <w:p w14:paraId="73F281D5">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r>
      <w:tr w14:paraId="30739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569" w:type="pct"/>
            <w:tcMar>
              <w:top w:w="15" w:type="dxa"/>
              <w:left w:w="15" w:type="dxa"/>
              <w:right w:w="15" w:type="dxa"/>
            </w:tcMar>
            <w:vAlign w:val="center"/>
          </w:tcPr>
          <w:p w14:paraId="0015DBD2">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4</w:t>
            </w:r>
          </w:p>
        </w:tc>
        <w:tc>
          <w:tcPr>
            <w:tcW w:w="1077" w:type="pct"/>
            <w:shd w:val="clear" w:color="auto" w:fill="auto"/>
            <w:tcMar>
              <w:top w:w="15" w:type="dxa"/>
              <w:left w:w="15" w:type="dxa"/>
              <w:right w:w="15" w:type="dxa"/>
            </w:tcMar>
            <w:vAlign w:val="center"/>
          </w:tcPr>
          <w:p w14:paraId="712735E6">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一对多陪护（含无陪护病房）</w:t>
            </w:r>
          </w:p>
        </w:tc>
        <w:tc>
          <w:tcPr>
            <w:tcW w:w="1115" w:type="pct"/>
            <w:tcMar>
              <w:top w:w="15" w:type="dxa"/>
              <w:left w:w="15" w:type="dxa"/>
              <w:right w:w="15" w:type="dxa"/>
            </w:tcMar>
            <w:vAlign w:val="center"/>
          </w:tcPr>
          <w:p w14:paraId="4C327C0F">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1118" w:type="pct"/>
            <w:tcMar>
              <w:top w:w="15" w:type="dxa"/>
              <w:left w:w="15" w:type="dxa"/>
              <w:right w:w="15" w:type="dxa"/>
            </w:tcMar>
            <w:vAlign w:val="center"/>
          </w:tcPr>
          <w:p w14:paraId="1BE30748">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1118" w:type="pct"/>
            <w:tcMar>
              <w:top w:w="15" w:type="dxa"/>
              <w:left w:w="15" w:type="dxa"/>
              <w:right w:w="15" w:type="dxa"/>
            </w:tcMar>
            <w:vAlign w:val="center"/>
          </w:tcPr>
          <w:p w14:paraId="048CB0DD">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r>
      <w:tr w14:paraId="02F2A1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9" w:hRule="atLeast"/>
          <w:jc w:val="center"/>
        </w:trPr>
        <w:tc>
          <w:tcPr>
            <w:tcW w:w="569" w:type="pct"/>
            <w:tcMar>
              <w:top w:w="15" w:type="dxa"/>
              <w:left w:w="15" w:type="dxa"/>
              <w:right w:w="15" w:type="dxa"/>
            </w:tcMar>
            <w:vAlign w:val="center"/>
          </w:tcPr>
          <w:p w14:paraId="7B7C4EB3">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5</w:t>
            </w:r>
          </w:p>
        </w:tc>
        <w:tc>
          <w:tcPr>
            <w:tcW w:w="1077" w:type="pct"/>
            <w:shd w:val="clear" w:color="auto" w:fill="auto"/>
            <w:tcMar>
              <w:top w:w="15" w:type="dxa"/>
              <w:left w:w="15" w:type="dxa"/>
              <w:right w:w="15" w:type="dxa"/>
            </w:tcMar>
            <w:vAlign w:val="center"/>
          </w:tcPr>
          <w:p w14:paraId="34AEDD9D">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母婴陪护（一对一）</w:t>
            </w:r>
          </w:p>
        </w:tc>
        <w:tc>
          <w:tcPr>
            <w:tcW w:w="1115" w:type="pct"/>
            <w:tcMar>
              <w:top w:w="15" w:type="dxa"/>
              <w:left w:w="15" w:type="dxa"/>
              <w:right w:w="15" w:type="dxa"/>
            </w:tcMar>
            <w:vAlign w:val="center"/>
          </w:tcPr>
          <w:p w14:paraId="1110D948">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1118" w:type="pct"/>
            <w:tcMar>
              <w:top w:w="15" w:type="dxa"/>
              <w:left w:w="15" w:type="dxa"/>
              <w:right w:w="15" w:type="dxa"/>
            </w:tcMar>
            <w:vAlign w:val="center"/>
          </w:tcPr>
          <w:p w14:paraId="4010DF42">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1118" w:type="pct"/>
            <w:tcMar>
              <w:top w:w="15" w:type="dxa"/>
              <w:left w:w="15" w:type="dxa"/>
              <w:right w:w="15" w:type="dxa"/>
            </w:tcMar>
            <w:vAlign w:val="center"/>
          </w:tcPr>
          <w:p w14:paraId="1BE94833">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r>
    </w:tbl>
    <w:p w14:paraId="736D8438">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（二）我方现提交的响应文件为：响应文件正本     份，副本     份。</w:t>
      </w:r>
    </w:p>
    <w:p w14:paraId="0DF0A8CB">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（三）我方完全理解和接受贵方采购文件的一切规定和要求及评审办法。</w:t>
      </w:r>
    </w:p>
    <w:p w14:paraId="1F84AC3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（四）在整个采购过程中，我方若有违规行为，愿意接受按照《中华人民共和国政府采购法》和相关法律法规规定的惩罚。</w:t>
      </w:r>
    </w:p>
    <w:p w14:paraId="3F2ADF18">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（五）我方若成为成交供应商，将按照采购评审结果签订合同，并且严格履行合同义务。本报价承诺函将成为合同不可分割的一部分，与合同具有同等的法律效力。</w:t>
      </w:r>
    </w:p>
    <w:p w14:paraId="285A328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（六）我方未为采购项目提供整体设计、规范编制或者项目管理、监理、检测等服务。</w:t>
      </w:r>
    </w:p>
    <w:p w14:paraId="3108F9C9">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供应商（公章）或自然人签署：</w:t>
      </w:r>
    </w:p>
    <w:p w14:paraId="084F1A26">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地址：  </w:t>
      </w:r>
      <w:r>
        <w:rPr>
          <w:rFonts w:hint="eastAsia" w:ascii="Times New Roman" w:hAnsi="Times New Roman" w:cs="Times New Roman"/>
          <w:color w:val="auto"/>
          <w:lang w:val="en-US" w:eastAsia="zh-CN"/>
        </w:rPr>
        <w:t xml:space="preserve"> </w:t>
      </w:r>
    </w:p>
    <w:p w14:paraId="7F1FAC9E">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电话：                           邮编：</w:t>
      </w:r>
    </w:p>
    <w:p w14:paraId="401D6CFF">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联系人：</w:t>
      </w:r>
    </w:p>
    <w:p w14:paraId="59B4D287">
      <w:pPr>
        <w:pStyle w:val="14"/>
        <w:bidi w:val="0"/>
        <w:rPr>
          <w:rFonts w:hint="default" w:ascii="Times New Roman" w:hAnsi="Times New Roman" w:eastAsia="仿宋" w:cs="Times New Roman"/>
          <w:color w:val="auto"/>
          <w:kern w:val="2"/>
          <w:szCs w:val="24"/>
          <w:highlight w:val="none"/>
          <w:lang w:val="en-US" w:eastAsia="zh-CN" w:bidi="ar-SA"/>
        </w:rPr>
        <w:sectPr>
          <w:pgSz w:w="11907" w:h="16840"/>
          <w:pgMar w:top="1134" w:right="1191" w:bottom="1134" w:left="1304" w:header="851" w:footer="992" w:gutter="0"/>
          <w:pgNumType w:fmt="decimal"/>
          <w:cols w:space="720" w:num="1"/>
          <w:docGrid w:linePitch="380" w:charSpace="-5735"/>
        </w:sectPr>
      </w:pPr>
      <w:r>
        <w:rPr>
          <w:rFonts w:hint="default" w:ascii="Times New Roman" w:hAnsi="Times New Roman" w:cs="Times New Roman"/>
          <w:color w:val="auto"/>
          <w:lang w:val="en-US" w:eastAsia="zh-CN"/>
        </w:rPr>
        <w:t xml:space="preserve">                               年   月   日</w:t>
      </w:r>
    </w:p>
    <w:p w14:paraId="2BEBF1F2">
      <w:pPr>
        <w:pStyle w:val="4"/>
        <w:adjustRightInd w:val="0"/>
        <w:snapToGrid w:val="0"/>
        <w:spacing w:before="0" w:after="0" w:line="400" w:lineRule="exact"/>
        <w:ind w:firstLine="482" w:firstLineChars="200"/>
        <w:rPr>
          <w:rFonts w:hint="default" w:ascii="Times New Roman" w:hAnsi="Times New Roman" w:eastAsia="仿宋" w:cs="Times New Roman"/>
          <w:b/>
          <w:bCs/>
          <w:color w:val="auto"/>
          <w:kern w:val="2"/>
          <w:sz w:val="24"/>
          <w:szCs w:val="24"/>
          <w:highlight w:val="none"/>
          <w:lang w:val="en-US" w:eastAsia="zh-CN" w:bidi="ar-SA"/>
        </w:rPr>
      </w:pPr>
      <w:bookmarkStart w:id="128" w:name="_Toc65660380"/>
      <w:bookmarkStart w:id="129" w:name="_Toc342913420"/>
      <w:bookmarkStart w:id="130" w:name="_Toc313008357"/>
      <w:bookmarkStart w:id="131" w:name="_Toc14073"/>
      <w:bookmarkStart w:id="132" w:name="_Toc106034660"/>
      <w:bookmarkStart w:id="133" w:name="_Toc22655"/>
      <w:bookmarkStart w:id="134" w:name="_Toc313888361"/>
      <w:r>
        <w:rPr>
          <w:rFonts w:hint="default" w:ascii="Times New Roman" w:hAnsi="Times New Roman" w:eastAsia="仿宋" w:cs="Times New Roman"/>
          <w:b/>
          <w:bCs/>
          <w:color w:val="auto"/>
          <w:kern w:val="2"/>
          <w:sz w:val="24"/>
          <w:szCs w:val="24"/>
          <w:highlight w:val="none"/>
          <w:lang w:val="en-US" w:eastAsia="zh-CN" w:bidi="ar-SA"/>
        </w:rPr>
        <w:t>二、服务部分</w:t>
      </w:r>
      <w:bookmarkEnd w:id="128"/>
      <w:bookmarkEnd w:id="129"/>
      <w:bookmarkEnd w:id="130"/>
      <w:bookmarkEnd w:id="131"/>
      <w:bookmarkEnd w:id="132"/>
      <w:bookmarkEnd w:id="133"/>
      <w:bookmarkEnd w:id="134"/>
    </w:p>
    <w:p w14:paraId="52272C5C">
      <w:pPr>
        <w:spacing w:line="400" w:lineRule="exact"/>
        <w:ind w:firstLine="480" w:firstLineChars="200"/>
        <w:rPr>
          <w:rFonts w:hint="default" w:ascii="Times New Roman" w:hAnsi="Times New Roman" w:eastAsia="仿宋" w:cs="Times New Roman"/>
          <w:b w:val="0"/>
          <w:bCs w:val="0"/>
          <w:color w:val="auto"/>
          <w:kern w:val="2"/>
          <w:sz w:val="24"/>
          <w:szCs w:val="24"/>
          <w:highlight w:val="none"/>
          <w:lang w:val="en-US" w:eastAsia="zh-CN" w:bidi="ar-SA"/>
        </w:rPr>
      </w:pPr>
      <w:r>
        <w:rPr>
          <w:rFonts w:hint="default" w:ascii="Times New Roman" w:hAnsi="Times New Roman" w:eastAsia="仿宋" w:cs="Times New Roman"/>
          <w:b w:val="0"/>
          <w:bCs w:val="0"/>
          <w:color w:val="auto"/>
          <w:kern w:val="2"/>
          <w:sz w:val="24"/>
          <w:szCs w:val="24"/>
          <w:highlight w:val="none"/>
          <w:lang w:val="en-US" w:eastAsia="zh-CN" w:bidi="ar-SA"/>
        </w:rPr>
        <w:t>（一）服务需求响应偏离表</w:t>
      </w:r>
    </w:p>
    <w:p w14:paraId="6044944E">
      <w:pPr>
        <w:spacing w:line="400" w:lineRule="exact"/>
        <w:ind w:firstLine="480" w:firstLineChars="200"/>
        <w:rPr>
          <w:rFonts w:hint="default" w:ascii="Times New Roman" w:hAnsi="Times New Roman" w:eastAsia="仿宋" w:cs="Times New Roman"/>
          <w:b w:val="0"/>
          <w:color w:val="auto"/>
          <w:kern w:val="2"/>
          <w:sz w:val="24"/>
          <w:szCs w:val="24"/>
          <w:highlight w:val="none"/>
          <w:lang w:val="en-US" w:eastAsia="zh-CN" w:bidi="ar-SA"/>
        </w:rPr>
      </w:pPr>
      <w:r>
        <w:rPr>
          <w:rFonts w:hint="default" w:ascii="Times New Roman" w:hAnsi="Times New Roman" w:eastAsia="仿宋" w:cs="Times New Roman"/>
          <w:b w:val="0"/>
          <w:color w:val="auto"/>
          <w:kern w:val="2"/>
          <w:sz w:val="24"/>
          <w:szCs w:val="24"/>
          <w:highlight w:val="none"/>
          <w:lang w:val="en-US" w:eastAsia="zh-CN" w:bidi="ar-SA"/>
        </w:rPr>
        <w:t>项目名称：</w:t>
      </w:r>
    </w:p>
    <w:tbl>
      <w:tblPr>
        <w:tblStyle w:val="10"/>
        <w:tblW w:w="92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8"/>
        <w:gridCol w:w="2401"/>
        <w:gridCol w:w="3395"/>
        <w:gridCol w:w="2212"/>
      </w:tblGrid>
      <w:tr w14:paraId="7050F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jc w:val="center"/>
        </w:trPr>
        <w:tc>
          <w:tcPr>
            <w:tcW w:w="1218" w:type="dxa"/>
            <w:vAlign w:val="center"/>
          </w:tcPr>
          <w:p w14:paraId="1D5C2D0F">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auto"/>
                <w:kern w:val="2"/>
                <w:sz w:val="21"/>
                <w:szCs w:val="21"/>
                <w:highlight w:val="none"/>
                <w:lang w:val="en-US" w:eastAsia="zh-CN" w:bidi="ar-SA"/>
              </w:rPr>
            </w:pPr>
            <w:r>
              <w:rPr>
                <w:rFonts w:hint="default" w:ascii="Times New Roman" w:hAnsi="Times New Roman" w:eastAsia="方正黑体_GBK" w:cs="Times New Roman"/>
                <w:color w:val="auto"/>
                <w:kern w:val="2"/>
                <w:sz w:val="21"/>
                <w:szCs w:val="21"/>
                <w:highlight w:val="none"/>
                <w:lang w:val="en-US" w:eastAsia="zh-CN" w:bidi="ar-SA"/>
              </w:rPr>
              <w:t>序号</w:t>
            </w:r>
          </w:p>
        </w:tc>
        <w:tc>
          <w:tcPr>
            <w:tcW w:w="2401" w:type="dxa"/>
            <w:vAlign w:val="center"/>
          </w:tcPr>
          <w:p w14:paraId="535D4D7D">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auto"/>
                <w:kern w:val="2"/>
                <w:sz w:val="21"/>
                <w:szCs w:val="21"/>
                <w:highlight w:val="none"/>
                <w:lang w:val="en-US" w:eastAsia="zh-CN" w:bidi="ar-SA"/>
              </w:rPr>
            </w:pPr>
            <w:r>
              <w:rPr>
                <w:rFonts w:hint="default" w:ascii="Times New Roman" w:hAnsi="Times New Roman" w:eastAsia="方正黑体_GBK" w:cs="Times New Roman"/>
                <w:color w:val="auto"/>
                <w:kern w:val="2"/>
                <w:sz w:val="21"/>
                <w:szCs w:val="21"/>
                <w:highlight w:val="none"/>
                <w:lang w:val="en-US" w:eastAsia="zh-CN" w:bidi="ar-SA"/>
              </w:rPr>
              <w:t>采购需求</w:t>
            </w:r>
          </w:p>
        </w:tc>
        <w:tc>
          <w:tcPr>
            <w:tcW w:w="3395" w:type="dxa"/>
            <w:vAlign w:val="center"/>
          </w:tcPr>
          <w:p w14:paraId="4DC9B3A6">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auto"/>
                <w:kern w:val="2"/>
                <w:sz w:val="21"/>
                <w:szCs w:val="21"/>
                <w:highlight w:val="none"/>
                <w:lang w:val="en-US" w:eastAsia="zh-CN" w:bidi="ar-SA"/>
              </w:rPr>
            </w:pPr>
            <w:r>
              <w:rPr>
                <w:rFonts w:hint="default" w:ascii="Times New Roman" w:hAnsi="Times New Roman" w:eastAsia="方正黑体_GBK" w:cs="Times New Roman"/>
                <w:color w:val="auto"/>
                <w:kern w:val="2"/>
                <w:sz w:val="21"/>
                <w:szCs w:val="21"/>
                <w:highlight w:val="none"/>
                <w:lang w:val="en-US" w:eastAsia="zh-CN" w:bidi="ar-SA"/>
              </w:rPr>
              <w:t>响应情况</w:t>
            </w:r>
          </w:p>
        </w:tc>
        <w:tc>
          <w:tcPr>
            <w:tcW w:w="2212" w:type="dxa"/>
            <w:vAlign w:val="center"/>
          </w:tcPr>
          <w:p w14:paraId="15B6D641">
            <w:pPr>
              <w:keepNext w:val="0"/>
              <w:keepLines w:val="0"/>
              <w:pageBreakBefore w:val="0"/>
              <w:widowControl w:val="0"/>
              <w:kinsoku/>
              <w:wordWrap/>
              <w:overflowPunct/>
              <w:topLinePunct w:val="0"/>
              <w:autoSpaceDE/>
              <w:autoSpaceDN/>
              <w:bidi w:val="0"/>
              <w:adjustRightInd/>
              <w:snapToGrid w:val="0"/>
              <w:spacing w:line="480" w:lineRule="exact"/>
              <w:jc w:val="center"/>
              <w:textAlignment w:val="auto"/>
              <w:rPr>
                <w:rFonts w:hint="default" w:ascii="Times New Roman" w:hAnsi="Times New Roman" w:eastAsia="方正黑体_GBK" w:cs="Times New Roman"/>
                <w:color w:val="auto"/>
                <w:kern w:val="2"/>
                <w:sz w:val="21"/>
                <w:szCs w:val="21"/>
                <w:highlight w:val="none"/>
                <w:lang w:val="en-US" w:eastAsia="zh-CN" w:bidi="ar-SA"/>
              </w:rPr>
            </w:pPr>
            <w:r>
              <w:rPr>
                <w:rFonts w:hint="default" w:ascii="Times New Roman" w:hAnsi="Times New Roman" w:eastAsia="方正黑体_GBK" w:cs="Times New Roman"/>
                <w:color w:val="auto"/>
                <w:kern w:val="2"/>
                <w:sz w:val="21"/>
                <w:szCs w:val="21"/>
                <w:highlight w:val="none"/>
                <w:lang w:val="en-US" w:eastAsia="zh-CN" w:bidi="ar-SA"/>
              </w:rPr>
              <w:t>差异说明</w:t>
            </w:r>
          </w:p>
        </w:tc>
      </w:tr>
      <w:tr w14:paraId="7BB04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8BC0992">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2401" w:type="dxa"/>
            <w:vAlign w:val="center"/>
          </w:tcPr>
          <w:p w14:paraId="6472DC19">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c>
          <w:tcPr>
            <w:tcW w:w="3395" w:type="dxa"/>
            <w:vAlign w:val="center"/>
          </w:tcPr>
          <w:p w14:paraId="74188A44">
            <w:pPr>
              <w:keepNext w:val="0"/>
              <w:keepLines w:val="0"/>
              <w:pageBreakBefore w:val="0"/>
              <w:widowControl w:val="0"/>
              <w:kinsoku/>
              <w:wordWrap/>
              <w:overflowPunct/>
              <w:topLinePunct w:val="0"/>
              <w:autoSpaceDE/>
              <w:autoSpaceDN/>
              <w:bidi w:val="0"/>
              <w:adjustRightInd/>
              <w:snapToGrid w:val="0"/>
              <w:spacing w:line="240" w:lineRule="auto"/>
              <w:jc w:val="both"/>
              <w:textAlignment w:val="auto"/>
              <w:rPr>
                <w:rFonts w:hint="default" w:ascii="Times New Roman" w:hAnsi="Times New Roman" w:eastAsia="方正仿宋_GBK" w:cs="Times New Roman"/>
                <w:color w:val="auto"/>
                <w:kern w:val="2"/>
                <w:sz w:val="21"/>
                <w:szCs w:val="21"/>
                <w:highlight w:val="none"/>
                <w:lang w:val="en-US" w:eastAsia="zh-CN" w:bidi="ar-SA"/>
              </w:rPr>
            </w:pPr>
            <w:r>
              <w:rPr>
                <w:rFonts w:hint="default" w:ascii="Times New Roman" w:hAnsi="Times New Roman" w:eastAsia="方正仿宋_GBK" w:cs="Times New Roman"/>
                <w:color w:val="auto"/>
                <w:kern w:val="2"/>
                <w:sz w:val="21"/>
                <w:szCs w:val="21"/>
                <w:highlight w:val="none"/>
                <w:lang w:val="en-US" w:eastAsia="zh-CN" w:bidi="ar-SA"/>
              </w:rPr>
              <w:t>提醒：请注明服务具体内容以及响应文件中服务具体内容的位置（页码）</w:t>
            </w:r>
          </w:p>
        </w:tc>
        <w:tc>
          <w:tcPr>
            <w:tcW w:w="2212" w:type="dxa"/>
            <w:vAlign w:val="center"/>
          </w:tcPr>
          <w:p w14:paraId="008DB828">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center"/>
              <w:textAlignment w:val="auto"/>
              <w:rPr>
                <w:rFonts w:hint="default" w:ascii="Times New Roman" w:hAnsi="Times New Roman" w:eastAsia="方正仿宋_GBK" w:cs="Times New Roman"/>
                <w:color w:val="auto"/>
                <w:kern w:val="2"/>
                <w:sz w:val="21"/>
                <w:szCs w:val="21"/>
                <w:highlight w:val="none"/>
                <w:lang w:val="en-US" w:eastAsia="zh-CN" w:bidi="ar-SA"/>
              </w:rPr>
            </w:pPr>
          </w:p>
        </w:tc>
      </w:tr>
      <w:tr w14:paraId="33B24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F7CF16B">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401" w:type="dxa"/>
            <w:vAlign w:val="center"/>
          </w:tcPr>
          <w:p w14:paraId="64F551B2">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3395" w:type="dxa"/>
            <w:vAlign w:val="center"/>
          </w:tcPr>
          <w:p w14:paraId="5127F616">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212" w:type="dxa"/>
            <w:vAlign w:val="center"/>
          </w:tcPr>
          <w:p w14:paraId="34109610">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r>
      <w:tr w14:paraId="4A672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4680F2F0">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401" w:type="dxa"/>
            <w:vAlign w:val="center"/>
          </w:tcPr>
          <w:p w14:paraId="4A2A2EFD">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3395" w:type="dxa"/>
            <w:vAlign w:val="center"/>
          </w:tcPr>
          <w:p w14:paraId="0BFE467A">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212" w:type="dxa"/>
            <w:vAlign w:val="center"/>
          </w:tcPr>
          <w:p w14:paraId="346F5460">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r>
      <w:tr w14:paraId="3B48F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4960219">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401" w:type="dxa"/>
            <w:vAlign w:val="center"/>
          </w:tcPr>
          <w:p w14:paraId="0F279BE6">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3395" w:type="dxa"/>
            <w:vAlign w:val="center"/>
          </w:tcPr>
          <w:p w14:paraId="00D7576A">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212" w:type="dxa"/>
            <w:vAlign w:val="center"/>
          </w:tcPr>
          <w:p w14:paraId="3BADE77D">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r>
      <w:tr w14:paraId="2A78D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F5D5944">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401" w:type="dxa"/>
            <w:vAlign w:val="center"/>
          </w:tcPr>
          <w:p w14:paraId="1ED59600">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3395" w:type="dxa"/>
            <w:vAlign w:val="center"/>
          </w:tcPr>
          <w:p w14:paraId="0434EC49">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212" w:type="dxa"/>
            <w:vAlign w:val="center"/>
          </w:tcPr>
          <w:p w14:paraId="6F1892A5">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r>
      <w:tr w14:paraId="0CF4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F391796">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401" w:type="dxa"/>
            <w:vAlign w:val="center"/>
          </w:tcPr>
          <w:p w14:paraId="13675157">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3395" w:type="dxa"/>
            <w:vAlign w:val="center"/>
          </w:tcPr>
          <w:p w14:paraId="73CCDFFC">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212" w:type="dxa"/>
            <w:vAlign w:val="center"/>
          </w:tcPr>
          <w:p w14:paraId="3FB699A7">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r>
      <w:tr w14:paraId="0F5F5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25EDECC5">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401" w:type="dxa"/>
            <w:vAlign w:val="center"/>
          </w:tcPr>
          <w:p w14:paraId="6C3DA22B">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3395" w:type="dxa"/>
            <w:vAlign w:val="center"/>
          </w:tcPr>
          <w:p w14:paraId="6785FD28">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212" w:type="dxa"/>
            <w:vAlign w:val="center"/>
          </w:tcPr>
          <w:p w14:paraId="2070AF90">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r>
      <w:tr w14:paraId="407173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5B508143">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401" w:type="dxa"/>
            <w:vAlign w:val="center"/>
          </w:tcPr>
          <w:p w14:paraId="7F178D70">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3395" w:type="dxa"/>
            <w:vAlign w:val="center"/>
          </w:tcPr>
          <w:p w14:paraId="2A2A0ED6">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212" w:type="dxa"/>
            <w:vAlign w:val="center"/>
          </w:tcPr>
          <w:p w14:paraId="2E48E2FE">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r>
      <w:tr w14:paraId="42EC2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369ABD3A">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401" w:type="dxa"/>
            <w:vAlign w:val="center"/>
          </w:tcPr>
          <w:p w14:paraId="3FA9FF7E">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3395" w:type="dxa"/>
            <w:vAlign w:val="center"/>
          </w:tcPr>
          <w:p w14:paraId="48CB562B">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212" w:type="dxa"/>
            <w:vAlign w:val="center"/>
          </w:tcPr>
          <w:p w14:paraId="4CF9FF39">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r>
      <w:tr w14:paraId="2E01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69CBC6F9">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401" w:type="dxa"/>
            <w:vAlign w:val="center"/>
          </w:tcPr>
          <w:p w14:paraId="4A56587C">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3395" w:type="dxa"/>
            <w:vAlign w:val="center"/>
          </w:tcPr>
          <w:p w14:paraId="5695CFE6">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212" w:type="dxa"/>
            <w:vAlign w:val="center"/>
          </w:tcPr>
          <w:p w14:paraId="7A1557E8">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r>
      <w:tr w14:paraId="0C2E2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2D771785">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401" w:type="dxa"/>
            <w:vAlign w:val="center"/>
          </w:tcPr>
          <w:p w14:paraId="24C15206">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3395" w:type="dxa"/>
            <w:vAlign w:val="center"/>
          </w:tcPr>
          <w:p w14:paraId="5BE796E4">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212" w:type="dxa"/>
            <w:vAlign w:val="center"/>
          </w:tcPr>
          <w:p w14:paraId="24CAAAED">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r>
      <w:tr w14:paraId="57E1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00FE5842">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401" w:type="dxa"/>
            <w:vAlign w:val="center"/>
          </w:tcPr>
          <w:p w14:paraId="5C5E648B">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3395" w:type="dxa"/>
            <w:vAlign w:val="center"/>
          </w:tcPr>
          <w:p w14:paraId="58C1E2C3">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212" w:type="dxa"/>
            <w:vAlign w:val="center"/>
          </w:tcPr>
          <w:p w14:paraId="237DCEB3">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r>
      <w:tr w14:paraId="6B6AE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218" w:type="dxa"/>
            <w:vAlign w:val="center"/>
          </w:tcPr>
          <w:p w14:paraId="797E1D8D">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401" w:type="dxa"/>
            <w:vAlign w:val="center"/>
          </w:tcPr>
          <w:p w14:paraId="28D0E14D">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3395" w:type="dxa"/>
            <w:vAlign w:val="center"/>
          </w:tcPr>
          <w:p w14:paraId="723B2516">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c>
          <w:tcPr>
            <w:tcW w:w="2212" w:type="dxa"/>
            <w:vAlign w:val="center"/>
          </w:tcPr>
          <w:p w14:paraId="71B823B8">
            <w:pPr>
              <w:tabs>
                <w:tab w:val="left" w:pos="6300"/>
              </w:tabs>
              <w:snapToGrid w:val="0"/>
              <w:spacing w:line="240" w:lineRule="auto"/>
              <w:jc w:val="center"/>
              <w:outlineLvl w:val="0"/>
              <w:rPr>
                <w:rFonts w:hint="default" w:ascii="Times New Roman" w:hAnsi="Times New Roman" w:eastAsia="方正仿宋_GBK" w:cs="Times New Roman"/>
                <w:color w:val="auto"/>
                <w:sz w:val="21"/>
                <w:szCs w:val="21"/>
              </w:rPr>
            </w:pPr>
          </w:p>
        </w:tc>
      </w:tr>
    </w:tbl>
    <w:p w14:paraId="46B8B3CE">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供应商：                       法定代表人（或其授权代表）或自然人：</w:t>
      </w:r>
    </w:p>
    <w:p w14:paraId="34E3A0F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    </w:t>
      </w:r>
    </w:p>
    <w:p w14:paraId="440C450E">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（供应商公章）                               （签署或盖章）</w:t>
      </w:r>
    </w:p>
    <w:p w14:paraId="2D43729A">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                                            年     月     日</w:t>
      </w:r>
    </w:p>
    <w:p w14:paraId="25303CDC">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注：</w:t>
      </w:r>
    </w:p>
    <w:p w14:paraId="4A439D46">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1.本表即为对本项目</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第二篇 项目服务需求</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中所列条款进行对比和响应；</w:t>
      </w:r>
    </w:p>
    <w:p w14:paraId="33EF1D59">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2.该表必须按照采购文件要求逐条如实填写，根据比较情况在</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差异说明</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项填写正偏离或负偏离及原因，完全符合的填写</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无差异</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；如供应商未应答或只注明</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符合”、</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满足</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等类似无具体数值或内容的表述，视为不满足对应条款；</w:t>
      </w:r>
    </w:p>
    <w:p w14:paraId="7E6AEDC8">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3.本表可扩展。</w:t>
      </w:r>
    </w:p>
    <w:p w14:paraId="3B3356C2">
      <w:pPr>
        <w:pStyle w:val="14"/>
        <w:bidi w:val="0"/>
        <w:rPr>
          <w:rFonts w:hint="default" w:ascii="Times New Roman" w:hAnsi="Times New Roman" w:eastAsia="仿宋" w:cs="Times New Roman"/>
          <w:color w:val="auto"/>
          <w:sz w:val="24"/>
          <w:szCs w:val="24"/>
        </w:rPr>
      </w:pPr>
      <w:r>
        <w:rPr>
          <w:rFonts w:hint="default" w:ascii="Times New Roman" w:hAnsi="Times New Roman" w:cs="Times New Roman"/>
          <w:color w:val="auto"/>
          <w:lang w:val="en-US" w:eastAsia="zh-CN"/>
        </w:rPr>
        <w:t>（二）服务响应承诺（对评审标准中，服务部分进行响应或承诺，制定相应的</w:t>
      </w:r>
      <w:r>
        <w:rPr>
          <w:rFonts w:hint="eastAsia" w:ascii="Times New Roman" w:hAnsi="Times New Roman" w:cs="Times New Roman"/>
          <w:color w:val="auto"/>
          <w:lang w:val="en-US" w:eastAsia="zh-CN"/>
        </w:rPr>
        <w:t>响应</w:t>
      </w:r>
      <w:r>
        <w:rPr>
          <w:rFonts w:hint="default" w:ascii="Times New Roman" w:hAnsi="Times New Roman" w:cs="Times New Roman"/>
          <w:color w:val="auto"/>
          <w:lang w:val="en-US" w:eastAsia="zh-CN"/>
        </w:rPr>
        <w:t>或承诺方案，格式自定）</w:t>
      </w:r>
    </w:p>
    <w:p w14:paraId="1775EE98">
      <w:pPr>
        <w:pStyle w:val="15"/>
        <w:bidi w:val="0"/>
        <w:rPr>
          <w:rFonts w:hint="default" w:ascii="Times New Roman" w:hAnsi="Times New Roman" w:cs="Times New Roman"/>
          <w:color w:val="auto"/>
        </w:rPr>
      </w:pPr>
      <w:bookmarkStart w:id="135" w:name="_Toc32339"/>
      <w:bookmarkStart w:id="136" w:name="_Toc106034661"/>
      <w:bookmarkStart w:id="137" w:name="_Toc65660381"/>
      <w:bookmarkStart w:id="138" w:name="_Toc32158"/>
      <w:bookmarkStart w:id="139" w:name="_Toc2082"/>
      <w:bookmarkStart w:id="140" w:name="_Toc65660382"/>
      <w:bookmarkStart w:id="141" w:name="_Toc106034662"/>
      <w:bookmarkStart w:id="142" w:name="_Toc20162"/>
      <w:r>
        <w:rPr>
          <w:rFonts w:hint="default" w:ascii="Times New Roman" w:hAnsi="Times New Roman" w:cs="Times New Roman"/>
          <w:color w:val="auto"/>
        </w:rPr>
        <w:t>三、</w:t>
      </w:r>
      <w:r>
        <w:rPr>
          <w:rFonts w:hint="default" w:ascii="Times New Roman" w:hAnsi="Times New Roman" w:cs="Times New Roman"/>
          <w:color w:val="auto"/>
          <w:lang w:val="en-US" w:eastAsia="zh-CN"/>
        </w:rPr>
        <w:t>商务</w:t>
      </w:r>
      <w:r>
        <w:rPr>
          <w:rFonts w:hint="default" w:ascii="Times New Roman" w:hAnsi="Times New Roman" w:cs="Times New Roman"/>
          <w:color w:val="auto"/>
        </w:rPr>
        <w:t>部分</w:t>
      </w:r>
      <w:bookmarkEnd w:id="135"/>
      <w:bookmarkEnd w:id="136"/>
      <w:bookmarkEnd w:id="137"/>
      <w:bookmarkEnd w:id="138"/>
    </w:p>
    <w:p w14:paraId="53C97CE7">
      <w:pPr>
        <w:pStyle w:val="14"/>
        <w:bidi w:val="0"/>
        <w:rPr>
          <w:rFonts w:hint="default" w:ascii="Times New Roman" w:hAnsi="Times New Roman" w:cs="Times New Roman"/>
          <w:color w:val="auto"/>
        </w:rPr>
      </w:pPr>
      <w:r>
        <w:rPr>
          <w:rFonts w:hint="default" w:ascii="Times New Roman" w:hAnsi="Times New Roman" w:cs="Times New Roman"/>
          <w:color w:val="auto"/>
        </w:rPr>
        <w:t>（一）</w:t>
      </w:r>
      <w:r>
        <w:rPr>
          <w:rFonts w:hint="default" w:ascii="Times New Roman" w:hAnsi="Times New Roman" w:cs="Times New Roman"/>
          <w:color w:val="auto"/>
          <w:lang w:val="en-US" w:eastAsia="zh-CN"/>
        </w:rPr>
        <w:t>商务</w:t>
      </w:r>
      <w:r>
        <w:rPr>
          <w:rFonts w:hint="default" w:ascii="Times New Roman" w:hAnsi="Times New Roman" w:cs="Times New Roman"/>
          <w:color w:val="auto"/>
        </w:rPr>
        <w:t>响应偏离表</w:t>
      </w:r>
    </w:p>
    <w:p w14:paraId="044B3484">
      <w:pPr>
        <w:pStyle w:val="14"/>
        <w:bidi w:val="0"/>
        <w:rPr>
          <w:rFonts w:hint="default" w:ascii="Times New Roman" w:hAnsi="Times New Roman" w:cs="Times New Roman"/>
          <w:color w:val="auto"/>
        </w:rPr>
      </w:pPr>
      <w:r>
        <w:rPr>
          <w:rFonts w:hint="default" w:ascii="Times New Roman" w:hAnsi="Times New Roman" w:cs="Times New Roman"/>
          <w:color w:val="auto"/>
        </w:rPr>
        <w:t>项目名称：</w:t>
      </w:r>
    </w:p>
    <w:tbl>
      <w:tblPr>
        <w:tblStyle w:val="10"/>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2"/>
        <w:gridCol w:w="3184"/>
        <w:gridCol w:w="2438"/>
        <w:gridCol w:w="2359"/>
      </w:tblGrid>
      <w:tr w14:paraId="61A17B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1512" w:type="dxa"/>
            <w:vAlign w:val="center"/>
          </w:tcPr>
          <w:p w14:paraId="373F90CD">
            <w:pPr>
              <w:tabs>
                <w:tab w:val="left" w:pos="6300"/>
              </w:tabs>
              <w:snapToGrid w:val="0"/>
              <w:jc w:val="center"/>
              <w:outlineLvl w:val="0"/>
              <w:rPr>
                <w:rFonts w:hint="default" w:ascii="Times New Roman" w:hAnsi="Times New Roman" w:eastAsia="方正黑体_GBK" w:cs="Times New Roman"/>
                <w:b w:val="0"/>
                <w:bCs/>
                <w:color w:val="auto"/>
                <w:sz w:val="21"/>
                <w:szCs w:val="24"/>
              </w:rPr>
            </w:pPr>
            <w:r>
              <w:rPr>
                <w:rFonts w:hint="default" w:ascii="Times New Roman" w:hAnsi="Times New Roman" w:eastAsia="方正黑体_GBK" w:cs="Times New Roman"/>
                <w:b w:val="0"/>
                <w:bCs/>
                <w:color w:val="auto"/>
                <w:sz w:val="21"/>
                <w:szCs w:val="24"/>
              </w:rPr>
              <w:t>序号</w:t>
            </w:r>
          </w:p>
        </w:tc>
        <w:tc>
          <w:tcPr>
            <w:tcW w:w="3184" w:type="dxa"/>
            <w:vAlign w:val="center"/>
          </w:tcPr>
          <w:p w14:paraId="4AE1D8E8">
            <w:pPr>
              <w:tabs>
                <w:tab w:val="left" w:pos="6300"/>
              </w:tabs>
              <w:snapToGrid w:val="0"/>
              <w:jc w:val="center"/>
              <w:outlineLvl w:val="0"/>
              <w:rPr>
                <w:rFonts w:hint="default" w:ascii="Times New Roman" w:hAnsi="Times New Roman" w:eastAsia="方正黑体_GBK" w:cs="Times New Roman"/>
                <w:b w:val="0"/>
                <w:bCs/>
                <w:color w:val="auto"/>
                <w:sz w:val="21"/>
                <w:szCs w:val="24"/>
              </w:rPr>
            </w:pPr>
            <w:r>
              <w:rPr>
                <w:rFonts w:hint="default" w:ascii="Times New Roman" w:hAnsi="Times New Roman" w:eastAsia="方正黑体_GBK" w:cs="Times New Roman"/>
                <w:b w:val="0"/>
                <w:bCs/>
                <w:color w:val="auto"/>
                <w:sz w:val="21"/>
                <w:szCs w:val="24"/>
              </w:rPr>
              <w:t>采购需求</w:t>
            </w:r>
          </w:p>
        </w:tc>
        <w:tc>
          <w:tcPr>
            <w:tcW w:w="2438" w:type="dxa"/>
            <w:vAlign w:val="center"/>
          </w:tcPr>
          <w:p w14:paraId="2BD00216">
            <w:pPr>
              <w:tabs>
                <w:tab w:val="left" w:pos="6300"/>
              </w:tabs>
              <w:snapToGrid w:val="0"/>
              <w:jc w:val="center"/>
              <w:outlineLvl w:val="0"/>
              <w:rPr>
                <w:rFonts w:hint="default" w:ascii="Times New Roman" w:hAnsi="Times New Roman" w:eastAsia="方正黑体_GBK" w:cs="Times New Roman"/>
                <w:b w:val="0"/>
                <w:bCs/>
                <w:color w:val="auto"/>
                <w:sz w:val="21"/>
                <w:szCs w:val="24"/>
              </w:rPr>
            </w:pPr>
            <w:r>
              <w:rPr>
                <w:rFonts w:hint="default" w:ascii="Times New Roman" w:hAnsi="Times New Roman" w:eastAsia="方正黑体_GBK" w:cs="Times New Roman"/>
                <w:b w:val="0"/>
                <w:bCs/>
                <w:color w:val="auto"/>
                <w:sz w:val="21"/>
                <w:szCs w:val="24"/>
              </w:rPr>
              <w:t>响应情况</w:t>
            </w:r>
          </w:p>
        </w:tc>
        <w:tc>
          <w:tcPr>
            <w:tcW w:w="2359" w:type="dxa"/>
            <w:vAlign w:val="center"/>
          </w:tcPr>
          <w:p w14:paraId="2227F84C">
            <w:pPr>
              <w:tabs>
                <w:tab w:val="left" w:pos="6300"/>
              </w:tabs>
              <w:snapToGrid w:val="0"/>
              <w:jc w:val="center"/>
              <w:outlineLvl w:val="0"/>
              <w:rPr>
                <w:rFonts w:hint="default" w:ascii="Times New Roman" w:hAnsi="Times New Roman" w:eastAsia="方正黑体_GBK" w:cs="Times New Roman"/>
                <w:b w:val="0"/>
                <w:bCs/>
                <w:color w:val="auto"/>
                <w:sz w:val="21"/>
                <w:szCs w:val="24"/>
              </w:rPr>
            </w:pPr>
            <w:r>
              <w:rPr>
                <w:rFonts w:hint="default" w:ascii="Times New Roman" w:hAnsi="Times New Roman" w:eastAsia="方正黑体_GBK" w:cs="Times New Roman"/>
                <w:b w:val="0"/>
                <w:bCs/>
                <w:color w:val="auto"/>
                <w:sz w:val="21"/>
                <w:szCs w:val="21"/>
              </w:rPr>
              <w:t>差异说明</w:t>
            </w:r>
          </w:p>
        </w:tc>
      </w:tr>
      <w:tr w14:paraId="112230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45B8C698">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3184" w:type="dxa"/>
            <w:vAlign w:val="center"/>
          </w:tcPr>
          <w:p w14:paraId="71A39910">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2438" w:type="dxa"/>
            <w:vAlign w:val="center"/>
          </w:tcPr>
          <w:p w14:paraId="5C9D7D89">
            <w:pPr>
              <w:tabs>
                <w:tab w:val="left" w:pos="6300"/>
              </w:tabs>
              <w:snapToGrid w:val="0"/>
              <w:spacing w:line="240" w:lineRule="auto"/>
              <w:outlineLvl w:val="0"/>
              <w:rPr>
                <w:rFonts w:hint="default" w:ascii="Times New Roman" w:hAnsi="Times New Roman" w:eastAsia="方正仿宋_GBK" w:cs="Times New Roman"/>
                <w:color w:val="auto"/>
                <w:sz w:val="21"/>
                <w:szCs w:val="24"/>
              </w:rPr>
            </w:pPr>
            <w:r>
              <w:rPr>
                <w:rFonts w:hint="default" w:ascii="Times New Roman" w:hAnsi="Times New Roman" w:eastAsia="方正仿宋_GBK" w:cs="Times New Roman"/>
                <w:color w:val="auto"/>
                <w:sz w:val="21"/>
                <w:szCs w:val="21"/>
              </w:rPr>
              <w:t>提醒：请注明具体内容</w:t>
            </w:r>
          </w:p>
        </w:tc>
        <w:tc>
          <w:tcPr>
            <w:tcW w:w="2359" w:type="dxa"/>
            <w:vAlign w:val="center"/>
          </w:tcPr>
          <w:p w14:paraId="4B3A2E5A">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r>
      <w:tr w14:paraId="5A3C82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64CA81DC">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3184" w:type="dxa"/>
            <w:vAlign w:val="center"/>
          </w:tcPr>
          <w:p w14:paraId="235B8BC3">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2438" w:type="dxa"/>
            <w:vAlign w:val="center"/>
          </w:tcPr>
          <w:p w14:paraId="3221E297">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2359" w:type="dxa"/>
            <w:vAlign w:val="center"/>
          </w:tcPr>
          <w:p w14:paraId="41A19F10">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r>
      <w:tr w14:paraId="33299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32F5D462">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3184" w:type="dxa"/>
            <w:vAlign w:val="center"/>
          </w:tcPr>
          <w:p w14:paraId="515D88D4">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2438" w:type="dxa"/>
            <w:vAlign w:val="center"/>
          </w:tcPr>
          <w:p w14:paraId="60D0F083">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2359" w:type="dxa"/>
            <w:vAlign w:val="center"/>
          </w:tcPr>
          <w:p w14:paraId="4472376B">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r>
      <w:tr w14:paraId="0383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162A68BA">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3184" w:type="dxa"/>
            <w:vAlign w:val="center"/>
          </w:tcPr>
          <w:p w14:paraId="55375AB8">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2438" w:type="dxa"/>
            <w:vAlign w:val="center"/>
          </w:tcPr>
          <w:p w14:paraId="4F0464E3">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2359" w:type="dxa"/>
            <w:vAlign w:val="center"/>
          </w:tcPr>
          <w:p w14:paraId="4B2F6AEA">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r>
      <w:tr w14:paraId="4D2B3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449A1455">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3184" w:type="dxa"/>
            <w:vAlign w:val="center"/>
          </w:tcPr>
          <w:p w14:paraId="2856D738">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2438" w:type="dxa"/>
            <w:vAlign w:val="center"/>
          </w:tcPr>
          <w:p w14:paraId="0BBB7DCA">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2359" w:type="dxa"/>
            <w:vAlign w:val="center"/>
          </w:tcPr>
          <w:p w14:paraId="7DF18568">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r>
      <w:tr w14:paraId="4CDE0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1512" w:type="dxa"/>
            <w:vAlign w:val="center"/>
          </w:tcPr>
          <w:p w14:paraId="254A5685">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3184" w:type="dxa"/>
            <w:vAlign w:val="center"/>
          </w:tcPr>
          <w:p w14:paraId="4A122FC6">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2438" w:type="dxa"/>
            <w:vAlign w:val="center"/>
          </w:tcPr>
          <w:p w14:paraId="0888BD46">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c>
          <w:tcPr>
            <w:tcW w:w="2359" w:type="dxa"/>
            <w:vAlign w:val="center"/>
          </w:tcPr>
          <w:p w14:paraId="654F433E">
            <w:pPr>
              <w:tabs>
                <w:tab w:val="left" w:pos="6300"/>
              </w:tabs>
              <w:snapToGrid w:val="0"/>
              <w:spacing w:line="240" w:lineRule="auto"/>
              <w:jc w:val="center"/>
              <w:outlineLvl w:val="0"/>
              <w:rPr>
                <w:rFonts w:hint="default" w:ascii="Times New Roman" w:hAnsi="Times New Roman" w:eastAsia="方正仿宋_GBK" w:cs="Times New Roman"/>
                <w:color w:val="auto"/>
                <w:sz w:val="21"/>
                <w:szCs w:val="24"/>
              </w:rPr>
            </w:pPr>
          </w:p>
        </w:tc>
      </w:tr>
    </w:tbl>
    <w:p w14:paraId="7C478DE5">
      <w:pPr>
        <w:pStyle w:val="14"/>
        <w:bidi w:val="0"/>
        <w:rPr>
          <w:rFonts w:hint="default" w:ascii="Times New Roman" w:hAnsi="Times New Roman" w:cs="Times New Roman"/>
          <w:color w:val="auto"/>
        </w:rPr>
      </w:pPr>
      <w:r>
        <w:rPr>
          <w:rFonts w:hint="default" w:ascii="Times New Roman" w:hAnsi="Times New Roman" w:cs="Times New Roman"/>
          <w:color w:val="auto"/>
        </w:rPr>
        <w:t>供应商：                       法定代表人（或其授权代表）或自然人：</w:t>
      </w:r>
    </w:p>
    <w:p w14:paraId="3D87F79B">
      <w:pPr>
        <w:pStyle w:val="14"/>
        <w:bidi w:val="0"/>
        <w:rPr>
          <w:rFonts w:hint="default" w:ascii="Times New Roman" w:hAnsi="Times New Roman" w:cs="Times New Roman"/>
          <w:color w:val="auto"/>
        </w:rPr>
      </w:pPr>
      <w:r>
        <w:rPr>
          <w:rFonts w:hint="default" w:ascii="Times New Roman" w:hAnsi="Times New Roman" w:cs="Times New Roman"/>
          <w:color w:val="auto"/>
        </w:rPr>
        <w:t xml:space="preserve">    </w:t>
      </w:r>
    </w:p>
    <w:p w14:paraId="60DCDECC">
      <w:pPr>
        <w:pStyle w:val="14"/>
        <w:bidi w:val="0"/>
        <w:rPr>
          <w:rFonts w:hint="default" w:ascii="Times New Roman" w:hAnsi="Times New Roman" w:cs="Times New Roman"/>
          <w:color w:val="auto"/>
        </w:rPr>
      </w:pPr>
      <w:r>
        <w:rPr>
          <w:rFonts w:hint="default" w:ascii="Times New Roman" w:hAnsi="Times New Roman" w:cs="Times New Roman"/>
          <w:color w:val="auto"/>
        </w:rPr>
        <w:t>（供应商公章）                                     （签署或盖章）</w:t>
      </w:r>
    </w:p>
    <w:p w14:paraId="7D24582D">
      <w:pPr>
        <w:pStyle w:val="14"/>
        <w:bidi w:val="0"/>
        <w:rPr>
          <w:rFonts w:hint="default" w:ascii="Times New Roman" w:hAnsi="Times New Roman" w:cs="Times New Roman"/>
          <w:color w:val="auto"/>
        </w:rPr>
      </w:pPr>
      <w:r>
        <w:rPr>
          <w:rFonts w:hint="default" w:ascii="Times New Roman" w:hAnsi="Times New Roman" w:cs="Times New Roman"/>
          <w:color w:val="auto"/>
        </w:rPr>
        <w:t xml:space="preserve">                                               年     月     日</w:t>
      </w:r>
    </w:p>
    <w:p w14:paraId="54D11D90">
      <w:pPr>
        <w:pStyle w:val="14"/>
        <w:bidi w:val="0"/>
        <w:rPr>
          <w:rFonts w:hint="default" w:ascii="Times New Roman" w:hAnsi="Times New Roman" w:cs="Times New Roman"/>
          <w:color w:val="auto"/>
        </w:rPr>
      </w:pPr>
      <w:r>
        <w:rPr>
          <w:rFonts w:hint="default" w:ascii="Times New Roman" w:hAnsi="Times New Roman" w:cs="Times New Roman"/>
          <w:color w:val="auto"/>
        </w:rPr>
        <w:t>注：</w:t>
      </w:r>
    </w:p>
    <w:p w14:paraId="39057F2D">
      <w:pPr>
        <w:pStyle w:val="14"/>
        <w:bidi w:val="0"/>
        <w:rPr>
          <w:rFonts w:hint="default" w:ascii="Times New Roman" w:hAnsi="Times New Roman" w:cs="Times New Roman"/>
          <w:color w:val="auto"/>
        </w:rPr>
      </w:pPr>
      <w:r>
        <w:rPr>
          <w:rFonts w:hint="default" w:ascii="Times New Roman" w:hAnsi="Times New Roman" w:cs="Times New Roman"/>
          <w:color w:val="auto"/>
        </w:rPr>
        <w:t>1.本表即为对本项目</w:t>
      </w:r>
      <w:r>
        <w:rPr>
          <w:rFonts w:hint="eastAsia" w:ascii="Times New Roman" w:hAnsi="Times New Roman" w:cs="Times New Roman"/>
          <w:color w:val="auto"/>
          <w:lang w:val="en-US" w:eastAsia="zh-CN"/>
        </w:rPr>
        <w:t>“</w:t>
      </w:r>
      <w:r>
        <w:rPr>
          <w:rFonts w:hint="default" w:ascii="Times New Roman" w:hAnsi="Times New Roman" w:cs="Times New Roman"/>
          <w:color w:val="auto"/>
          <w:lang w:val="en-US" w:eastAsia="zh-CN"/>
        </w:rPr>
        <w:t>第三篇 项目商务需求</w:t>
      </w:r>
      <w:r>
        <w:rPr>
          <w:rFonts w:hint="eastAsia" w:ascii="Times New Roman" w:hAnsi="Times New Roman" w:cs="Times New Roman"/>
          <w:color w:val="auto"/>
          <w:lang w:val="en-US" w:eastAsia="zh-CN"/>
        </w:rPr>
        <w:t>”</w:t>
      </w:r>
      <w:r>
        <w:rPr>
          <w:rFonts w:hint="default" w:ascii="Times New Roman" w:hAnsi="Times New Roman" w:cs="Times New Roman"/>
          <w:color w:val="auto"/>
        </w:rPr>
        <w:t>中所列条款进行比较和响应；</w:t>
      </w:r>
    </w:p>
    <w:p w14:paraId="50B8908E">
      <w:pPr>
        <w:pStyle w:val="14"/>
        <w:bidi w:val="0"/>
        <w:rPr>
          <w:rFonts w:hint="default" w:ascii="Times New Roman" w:hAnsi="Times New Roman" w:cs="Times New Roman"/>
          <w:color w:val="auto"/>
        </w:rPr>
      </w:pPr>
      <w:r>
        <w:rPr>
          <w:rFonts w:hint="default" w:ascii="Times New Roman" w:hAnsi="Times New Roman" w:cs="Times New Roman"/>
          <w:color w:val="auto"/>
        </w:rPr>
        <w:t>2.该表必须按照</w:t>
      </w:r>
      <w:r>
        <w:rPr>
          <w:rFonts w:hint="default" w:ascii="Times New Roman" w:hAnsi="Times New Roman" w:cs="Times New Roman"/>
          <w:color w:val="auto"/>
          <w:lang w:val="en-US" w:eastAsia="zh-CN"/>
        </w:rPr>
        <w:t>采购</w:t>
      </w:r>
      <w:r>
        <w:rPr>
          <w:rFonts w:hint="default" w:ascii="Times New Roman" w:hAnsi="Times New Roman" w:cs="Times New Roman"/>
          <w:color w:val="auto"/>
        </w:rPr>
        <w:t>文件要求逐条如实填写，根据</w:t>
      </w:r>
      <w:r>
        <w:rPr>
          <w:rFonts w:hint="default" w:ascii="Times New Roman" w:hAnsi="Times New Roman" w:cs="Times New Roman"/>
          <w:color w:val="auto"/>
          <w:lang w:val="en-US" w:eastAsia="zh-CN"/>
        </w:rPr>
        <w:t>比较</w:t>
      </w:r>
      <w:r>
        <w:rPr>
          <w:rFonts w:hint="default" w:ascii="Times New Roman" w:hAnsi="Times New Roman" w:cs="Times New Roman"/>
          <w:color w:val="auto"/>
        </w:rPr>
        <w:t>情况在</w:t>
      </w:r>
      <w:r>
        <w:rPr>
          <w:rFonts w:hint="eastAsia" w:ascii="Times New Roman" w:hAnsi="Times New Roman" w:cs="Times New Roman"/>
          <w:color w:val="auto"/>
          <w:lang w:eastAsia="zh-CN"/>
        </w:rPr>
        <w:t>“</w:t>
      </w:r>
      <w:r>
        <w:rPr>
          <w:rFonts w:hint="default" w:ascii="Times New Roman" w:hAnsi="Times New Roman" w:cs="Times New Roman"/>
          <w:color w:val="auto"/>
        </w:rPr>
        <w:t>差异说明</w:t>
      </w:r>
      <w:r>
        <w:rPr>
          <w:rFonts w:hint="eastAsia" w:ascii="Times New Roman" w:hAnsi="Times New Roman" w:cs="Times New Roman"/>
          <w:color w:val="auto"/>
          <w:lang w:eastAsia="zh-CN"/>
        </w:rPr>
        <w:t>”</w:t>
      </w:r>
      <w:r>
        <w:rPr>
          <w:rFonts w:hint="default" w:ascii="Times New Roman" w:hAnsi="Times New Roman" w:cs="Times New Roman"/>
          <w:color w:val="auto"/>
        </w:rPr>
        <w:t>项填写正偏离或负偏离及原因，完全符合的填写</w:t>
      </w:r>
      <w:r>
        <w:rPr>
          <w:rFonts w:hint="eastAsia" w:ascii="Times New Roman" w:hAnsi="Times New Roman" w:cs="Times New Roman"/>
          <w:color w:val="auto"/>
          <w:lang w:eastAsia="zh-CN"/>
        </w:rPr>
        <w:t>“</w:t>
      </w:r>
      <w:r>
        <w:rPr>
          <w:rFonts w:hint="default" w:ascii="Times New Roman" w:hAnsi="Times New Roman" w:cs="Times New Roman"/>
          <w:color w:val="auto"/>
        </w:rPr>
        <w:t>无差异</w:t>
      </w:r>
      <w:r>
        <w:rPr>
          <w:rFonts w:hint="eastAsia" w:ascii="Times New Roman" w:hAnsi="Times New Roman" w:cs="Times New Roman"/>
          <w:color w:val="auto"/>
          <w:lang w:eastAsia="zh-CN"/>
        </w:rPr>
        <w:t>”</w:t>
      </w:r>
      <w:r>
        <w:rPr>
          <w:rFonts w:hint="default" w:ascii="Times New Roman" w:hAnsi="Times New Roman" w:cs="Times New Roman"/>
          <w:color w:val="auto"/>
        </w:rPr>
        <w:t>，如供应商未应答或只注明</w:t>
      </w:r>
      <w:r>
        <w:rPr>
          <w:rFonts w:hint="eastAsia" w:ascii="Times New Roman" w:hAnsi="Times New Roman" w:cs="Times New Roman"/>
          <w:color w:val="auto"/>
          <w:lang w:eastAsia="zh-CN"/>
        </w:rPr>
        <w:t>“</w:t>
      </w:r>
      <w:r>
        <w:rPr>
          <w:rFonts w:hint="default" w:ascii="Times New Roman" w:hAnsi="Times New Roman" w:cs="Times New Roman"/>
          <w:color w:val="auto"/>
        </w:rPr>
        <w:t>符合</w:t>
      </w:r>
      <w:r>
        <w:rPr>
          <w:rFonts w:hint="eastAsia" w:ascii="Times New Roman" w:hAnsi="Times New Roman" w:cs="Times New Roman"/>
          <w:color w:val="auto"/>
          <w:lang w:eastAsia="zh-CN"/>
        </w:rPr>
        <w:t>”</w:t>
      </w:r>
      <w:r>
        <w:rPr>
          <w:rFonts w:hint="default" w:ascii="Times New Roman" w:hAnsi="Times New Roman" w:cs="Times New Roman"/>
          <w:color w:val="auto"/>
        </w:rPr>
        <w:t>、</w:t>
      </w:r>
      <w:r>
        <w:rPr>
          <w:rFonts w:hint="eastAsia" w:ascii="Times New Roman" w:hAnsi="Times New Roman" w:cs="Times New Roman"/>
          <w:color w:val="auto"/>
          <w:lang w:eastAsia="zh-CN"/>
        </w:rPr>
        <w:t>“</w:t>
      </w:r>
      <w:r>
        <w:rPr>
          <w:rFonts w:hint="default" w:ascii="Times New Roman" w:hAnsi="Times New Roman" w:cs="Times New Roman"/>
          <w:color w:val="auto"/>
        </w:rPr>
        <w:t>满足</w:t>
      </w:r>
      <w:r>
        <w:rPr>
          <w:rFonts w:hint="eastAsia" w:ascii="Times New Roman" w:hAnsi="Times New Roman" w:cs="Times New Roman"/>
          <w:color w:val="auto"/>
          <w:lang w:eastAsia="zh-CN"/>
        </w:rPr>
        <w:t>”</w:t>
      </w:r>
      <w:r>
        <w:rPr>
          <w:rFonts w:hint="default" w:ascii="Times New Roman" w:hAnsi="Times New Roman" w:cs="Times New Roman"/>
          <w:color w:val="auto"/>
        </w:rPr>
        <w:t>等类似无具体数值或内容的表述，视为不满足对应条款；</w:t>
      </w:r>
    </w:p>
    <w:p w14:paraId="76FCF57A">
      <w:pPr>
        <w:pStyle w:val="14"/>
        <w:bidi w:val="0"/>
        <w:rPr>
          <w:rFonts w:hint="default" w:ascii="Times New Roman" w:hAnsi="Times New Roman" w:cs="Times New Roman"/>
          <w:color w:val="auto"/>
        </w:rPr>
      </w:pPr>
      <w:r>
        <w:rPr>
          <w:rFonts w:hint="default" w:ascii="Times New Roman" w:hAnsi="Times New Roman" w:cs="Times New Roman"/>
          <w:color w:val="auto"/>
          <w:lang w:val="en-US" w:eastAsia="zh-CN"/>
        </w:rPr>
        <w:t>3</w:t>
      </w:r>
      <w:r>
        <w:rPr>
          <w:rFonts w:hint="default" w:ascii="Times New Roman" w:hAnsi="Times New Roman" w:cs="Times New Roman"/>
          <w:color w:val="auto"/>
        </w:rPr>
        <w:t>.本表可扩展。</w:t>
      </w:r>
    </w:p>
    <w:p w14:paraId="7255324A">
      <w:pPr>
        <w:pStyle w:val="15"/>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四、资格条件及其他</w:t>
      </w:r>
      <w:bookmarkEnd w:id="139"/>
      <w:bookmarkEnd w:id="140"/>
      <w:bookmarkEnd w:id="141"/>
      <w:bookmarkEnd w:id="142"/>
      <w:bookmarkStart w:id="143" w:name="_Toc342913422"/>
      <w:bookmarkStart w:id="144" w:name="_Toc313888363"/>
      <w:bookmarkStart w:id="145" w:name="_Toc313008359"/>
    </w:p>
    <w:p w14:paraId="65D6544E">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（一）法人营业执照（副本）复印件</w:t>
      </w:r>
    </w:p>
    <w:p w14:paraId="7345B392">
      <w:pPr>
        <w:pStyle w:val="14"/>
        <w:bidi w:val="0"/>
        <w:rPr>
          <w:rFonts w:hint="default" w:ascii="Times New Roman" w:hAnsi="Times New Roman" w:cs="Times New Roman"/>
          <w:color w:val="auto"/>
          <w:lang w:val="en-US" w:eastAsia="zh-CN"/>
        </w:rPr>
      </w:pPr>
      <w:r>
        <w:rPr>
          <w:rFonts w:hint="default" w:ascii="Times New Roman" w:hAnsi="Times New Roman" w:eastAsia="仿宋" w:cs="Times New Roman"/>
          <w:b w:val="0"/>
          <w:bCs w:val="0"/>
          <w:color w:val="auto"/>
          <w:szCs w:val="24"/>
        </w:rPr>
        <w:br w:type="page"/>
      </w:r>
      <w:r>
        <w:rPr>
          <w:rFonts w:hint="default" w:ascii="Times New Roman" w:hAnsi="Times New Roman" w:cs="Times New Roman"/>
          <w:color w:val="auto"/>
          <w:lang w:val="en-US" w:eastAsia="zh-CN"/>
        </w:rPr>
        <w:t>（二）法定代表人身份证明书（格式）</w:t>
      </w:r>
    </w:p>
    <w:p w14:paraId="5F179E2E">
      <w:pPr>
        <w:pStyle w:val="14"/>
        <w:keepNext w:val="0"/>
        <w:keepLines w:val="0"/>
        <w:pageBreakBefore w:val="0"/>
        <w:widowControl w:val="0"/>
        <w:kinsoku/>
        <w:wordWrap/>
        <w:overflowPunct/>
        <w:topLinePunct w:val="0"/>
        <w:autoSpaceDE/>
        <w:autoSpaceDN/>
        <w:bidi w:val="0"/>
        <w:adjustRightInd/>
        <w:snapToGrid w:val="0"/>
        <w:ind w:left="0" w:leftChars="0" w:firstLine="480" w:firstLineChars="200"/>
        <w:textAlignment w:val="auto"/>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项目名称：                                                </w:t>
      </w:r>
    </w:p>
    <w:p w14:paraId="6ADB68D4">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致：                     （采购人名称）：</w:t>
      </w:r>
    </w:p>
    <w:p w14:paraId="7554ED4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           （法定代表人姓名）在                       （供应商名称）任         （职务名称）职务，是（供应商名称）              的法定代表人。</w:t>
      </w:r>
    </w:p>
    <w:p w14:paraId="648EBFD7">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特此证明。</w:t>
      </w:r>
    </w:p>
    <w:p w14:paraId="03E990D7">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                                             （供应商公章）</w:t>
      </w:r>
    </w:p>
    <w:p w14:paraId="6C3CC1DC">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                                             年   月   日</w:t>
      </w:r>
    </w:p>
    <w:p w14:paraId="586D1A1B">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法定代表人电话：         电子邮箱：       （若授权他人办理并签署响应文件的可不填写）</w:t>
      </w:r>
    </w:p>
    <w:p w14:paraId="01D4587D">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（附：法定代表人身份证正反面复印件）</w:t>
      </w:r>
    </w:p>
    <w:p w14:paraId="0B303CBF">
      <w:pPr>
        <w:pStyle w:val="14"/>
        <w:bidi w:val="0"/>
        <w:rPr>
          <w:rFonts w:hint="default" w:ascii="Times New Roman" w:hAnsi="Times New Roman" w:cs="Times New Roman"/>
          <w:color w:val="auto"/>
          <w:lang w:val="en-US" w:eastAsia="zh-CN"/>
        </w:rPr>
      </w:pPr>
      <w:r>
        <w:rPr>
          <w:rFonts w:hint="default" w:ascii="Times New Roman" w:hAnsi="Times New Roman" w:eastAsia="仿宋" w:cs="Times New Roman"/>
          <w:b w:val="0"/>
          <w:bCs w:val="0"/>
          <w:color w:val="auto"/>
          <w:kern w:val="2"/>
          <w:szCs w:val="24"/>
          <w:highlight w:val="none"/>
          <w:lang w:val="en-US" w:eastAsia="zh-CN" w:bidi="ar-SA"/>
        </w:rPr>
        <w:br w:type="column"/>
      </w:r>
      <w:r>
        <w:rPr>
          <w:rFonts w:hint="default" w:ascii="Times New Roman" w:hAnsi="Times New Roman" w:cs="Times New Roman"/>
          <w:color w:val="auto"/>
          <w:lang w:val="en-US" w:eastAsia="zh-CN"/>
        </w:rPr>
        <w:t>（三）法定代表人授权委托书（格式）</w:t>
      </w:r>
    </w:p>
    <w:p w14:paraId="61BF01C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项目名称：                                                </w:t>
      </w:r>
    </w:p>
    <w:p w14:paraId="3FECD2CA">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致：                     （采购人名称）：</w:t>
      </w:r>
    </w:p>
    <w:p w14:paraId="222997D3">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               （供应商法定代表人名称）是                    （供应商名称）的法定代表人，特授权             （被授权人姓名及</w:t>
      </w:r>
      <w:r>
        <w:rPr>
          <w:rFonts w:hint="eastAsia" w:ascii="Times New Roman" w:hAnsi="Times New Roman" w:cs="Times New Roman"/>
          <w:color w:val="auto"/>
          <w:lang w:val="en-US" w:eastAsia="zh-CN"/>
        </w:rPr>
        <w:t>身份证号码</w:t>
      </w:r>
      <w:r>
        <w:rPr>
          <w:rFonts w:hint="default" w:ascii="Times New Roman" w:hAnsi="Times New Roman" w:cs="Times New Roman"/>
          <w:color w:val="auto"/>
          <w:lang w:val="en-US" w:eastAsia="zh-CN"/>
        </w:rPr>
        <w:t>）代表我单位全权办理上述项目的谈判、签约等具体工作，并签署全部有关文件、协议及合同。</w:t>
      </w:r>
    </w:p>
    <w:p w14:paraId="732BBA4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我单位对被授权人的签署负全部责任。</w:t>
      </w:r>
    </w:p>
    <w:p w14:paraId="2564F855">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在撤销授权的书面通知以前，本授权书一直有效。被授权人在授权书有效期内签署的所有文件不因授权的撤销而失效。</w:t>
      </w:r>
    </w:p>
    <w:p w14:paraId="02692C7B">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被授权人：                                 供应商法定代表人：</w:t>
      </w:r>
    </w:p>
    <w:p w14:paraId="7829B32D">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（签署或盖章）                                （签署或盖章）</w:t>
      </w:r>
    </w:p>
    <w:p w14:paraId="11EAB9A0">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（附：被授权人身份证正反面复印件）</w:t>
      </w:r>
    </w:p>
    <w:p w14:paraId="1C702660">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                                          </w:t>
      </w:r>
    </w:p>
    <w:p w14:paraId="3BD843F6">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（供应商公章）</w:t>
      </w:r>
    </w:p>
    <w:p w14:paraId="6C4DD8A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年   月   日</w:t>
      </w:r>
    </w:p>
    <w:p w14:paraId="0F014BC1">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被授权人电话：        电子邮箱：   （若法定代表人办理并签署响应文件的可不填写）</w:t>
      </w:r>
    </w:p>
    <w:p w14:paraId="1CCE15FF">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注：</w:t>
      </w:r>
    </w:p>
    <w:p w14:paraId="07E90A1A">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1.若为法定代表人办理并签署响应文件的，不提供此文件。</w:t>
      </w:r>
    </w:p>
    <w:p w14:paraId="0529637F">
      <w:pPr>
        <w:pStyle w:val="14"/>
        <w:bidi w:val="0"/>
        <w:rPr>
          <w:rFonts w:hint="default" w:ascii="Times New Roman" w:hAnsi="Times New Roman" w:cs="Times New Roman"/>
          <w:color w:val="auto"/>
          <w:lang w:val="en-US" w:eastAsia="zh-CN"/>
        </w:rPr>
      </w:pPr>
      <w:r>
        <w:rPr>
          <w:rFonts w:hint="default" w:ascii="Times New Roman" w:hAnsi="Times New Roman" w:eastAsia="仿宋" w:cs="Times New Roman"/>
          <w:b w:val="0"/>
          <w:bCs w:val="0"/>
          <w:color w:val="auto"/>
          <w:kern w:val="2"/>
          <w:szCs w:val="24"/>
          <w:highlight w:val="none"/>
          <w:lang w:val="en-US" w:eastAsia="zh-CN" w:bidi="ar-SA"/>
        </w:rPr>
        <w:br w:type="column"/>
      </w:r>
      <w:r>
        <w:rPr>
          <w:rFonts w:hint="default" w:ascii="Times New Roman" w:hAnsi="Times New Roman" w:cs="Times New Roman"/>
          <w:color w:val="auto"/>
          <w:lang w:val="en-US" w:eastAsia="zh-CN"/>
        </w:rPr>
        <w:t>（四）基本资格条件承诺函（格式）</w:t>
      </w:r>
    </w:p>
    <w:p w14:paraId="6B3A4740">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基本资格条件承诺函</w:t>
      </w:r>
    </w:p>
    <w:p w14:paraId="1B914DA2">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致                   （采购人名称）：</w:t>
      </w:r>
    </w:p>
    <w:p w14:paraId="1DB234BD">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 xml:space="preserve">                  （供应商名称）郑重承诺：</w:t>
      </w:r>
    </w:p>
    <w:p w14:paraId="143F35EA">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1.我方具有良好的商业信誉和健全的财务会计制度，具有履行合同所必需的设备和专业技术能力，具</w:t>
      </w:r>
      <w:r>
        <w:rPr>
          <w:rFonts w:hint="default" w:ascii="Times New Roman" w:hAnsi="Times New Roman" w:cs="Times New Roman"/>
          <w:color w:val="auto"/>
          <w:lang w:val="zh-CN" w:eastAsia="zh-CN"/>
        </w:rPr>
        <w:t>有依法缴纳税收和社会保障金的良好记录</w:t>
      </w:r>
      <w:r>
        <w:rPr>
          <w:rFonts w:hint="default" w:ascii="Times New Roman" w:hAnsi="Times New Roman" w:cs="Times New Roman"/>
          <w:color w:val="auto"/>
          <w:lang w:val="en-US" w:eastAsia="zh-CN"/>
        </w:rPr>
        <w:t>，参加本项目采购活动前三年内无重大违法活动记录。</w:t>
      </w:r>
    </w:p>
    <w:p w14:paraId="7BBF3B93">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2.我方未列入在信用中国网站（www.creditchina.gov.cn）“失信被执行人”、“重大税收违法案件当事人名单”中，也未列入中国政府采购网（www.ccgp.gov.cn）“政府采购严重违法失信行为记录名单”中。查询时间：    年  月  日   时。</w:t>
      </w:r>
    </w:p>
    <w:p w14:paraId="7029517E">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3.我方在采购项目评审（评标）环节结束后，随时接受采购人的检查验证，配合提供相关证明材料，证明符合《中华人民共和国政府采购法》规定的供应商基本资格条件。</w:t>
      </w:r>
    </w:p>
    <w:p w14:paraId="563699F2">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我方对以上承诺负全部法律责任。</w:t>
      </w:r>
    </w:p>
    <w:p w14:paraId="65DA4594">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特此承诺。</w:t>
      </w:r>
    </w:p>
    <w:p w14:paraId="4044A14F">
      <w:pPr>
        <w:pStyle w:val="14"/>
        <w:bidi w:val="0"/>
        <w:rPr>
          <w:rFonts w:hint="default" w:ascii="Times New Roman" w:hAnsi="Times New Roman" w:cs="Times New Roman"/>
          <w:color w:val="auto"/>
          <w:lang w:val="en-US" w:eastAsia="zh-CN"/>
        </w:rPr>
      </w:pPr>
    </w:p>
    <w:p w14:paraId="01E7D8BE">
      <w:pPr>
        <w:pStyle w:val="14"/>
        <w:bidi w:val="0"/>
        <w:ind w:firstLine="5760" w:firstLineChars="24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（供应商公章）</w:t>
      </w:r>
    </w:p>
    <w:p w14:paraId="572358B1">
      <w:pPr>
        <w:pStyle w:val="14"/>
        <w:bidi w:val="0"/>
        <w:ind w:firstLine="6000" w:firstLineChars="250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年   月   日</w:t>
      </w:r>
    </w:p>
    <w:p w14:paraId="02283F9C">
      <w:pPr>
        <w:spacing w:line="400" w:lineRule="exact"/>
        <w:ind w:firstLine="480" w:firstLineChars="200"/>
        <w:rPr>
          <w:rFonts w:hint="default" w:ascii="Times New Roman" w:hAnsi="Times New Roman" w:eastAsia="仿宋" w:cs="Times New Roman"/>
          <w:b w:val="0"/>
          <w:bCs w:val="0"/>
          <w:color w:val="auto"/>
          <w:kern w:val="2"/>
          <w:sz w:val="24"/>
          <w:szCs w:val="24"/>
          <w:highlight w:val="none"/>
          <w:lang w:val="en-US" w:eastAsia="zh-CN" w:bidi="ar-SA"/>
        </w:rPr>
      </w:pPr>
      <w:r>
        <w:rPr>
          <w:rFonts w:hint="default" w:ascii="Times New Roman" w:hAnsi="Times New Roman" w:eastAsia="仿宋" w:cs="Times New Roman"/>
          <w:b w:val="0"/>
          <w:bCs w:val="0"/>
          <w:color w:val="auto"/>
          <w:kern w:val="2"/>
          <w:sz w:val="24"/>
          <w:szCs w:val="24"/>
          <w:highlight w:val="none"/>
          <w:lang w:val="en-US" w:eastAsia="zh-CN" w:bidi="ar-SA"/>
        </w:rPr>
        <w:br w:type="page"/>
      </w:r>
    </w:p>
    <w:p w14:paraId="7905AA34">
      <w:pPr>
        <w:pStyle w:val="15"/>
        <w:bidi w:val="0"/>
        <w:rPr>
          <w:rFonts w:hint="default" w:ascii="Times New Roman" w:hAnsi="Times New Roman" w:cs="Times New Roman"/>
          <w:color w:val="auto"/>
          <w:lang w:val="en-US" w:eastAsia="zh-CN"/>
        </w:rPr>
      </w:pPr>
      <w:bookmarkStart w:id="146" w:name="_Toc106034663"/>
      <w:bookmarkStart w:id="147" w:name="_Toc2080"/>
      <w:bookmarkStart w:id="148" w:name="_Toc17010"/>
      <w:bookmarkStart w:id="149" w:name="_Toc65660383"/>
      <w:r>
        <w:rPr>
          <w:rFonts w:hint="default" w:ascii="Times New Roman" w:hAnsi="Times New Roman" w:cs="Times New Roman"/>
          <w:color w:val="auto"/>
          <w:lang w:val="en-US" w:eastAsia="zh-CN"/>
        </w:rPr>
        <w:t>五、</w:t>
      </w:r>
      <w:bookmarkEnd w:id="143"/>
      <w:bookmarkEnd w:id="144"/>
      <w:bookmarkEnd w:id="145"/>
      <w:r>
        <w:rPr>
          <w:rFonts w:hint="default" w:ascii="Times New Roman" w:hAnsi="Times New Roman" w:cs="Times New Roman"/>
          <w:color w:val="auto"/>
          <w:lang w:val="en-US" w:eastAsia="zh-CN"/>
        </w:rPr>
        <w:t>其他资料</w:t>
      </w:r>
      <w:bookmarkEnd w:id="146"/>
      <w:bookmarkEnd w:id="147"/>
      <w:bookmarkEnd w:id="148"/>
      <w:bookmarkEnd w:id="149"/>
    </w:p>
    <w:p w14:paraId="6307869A">
      <w:pPr>
        <w:pStyle w:val="14"/>
        <w:bidi w:val="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其他与项目有关的资料（自附）</w:t>
      </w:r>
    </w:p>
    <w:p w14:paraId="0010CF83">
      <w:pPr>
        <w:spacing w:line="400" w:lineRule="exact"/>
        <w:ind w:firstLine="480" w:firstLineChars="200"/>
        <w:rPr>
          <w:rFonts w:hint="default" w:ascii="Times New Roman" w:hAnsi="Times New Roman" w:eastAsia="仿宋" w:cs="Times New Roman"/>
          <w:b w:val="0"/>
          <w:bCs w:val="0"/>
          <w:color w:val="auto"/>
          <w:kern w:val="2"/>
          <w:sz w:val="24"/>
          <w:szCs w:val="24"/>
          <w:highlight w:val="none"/>
          <w:lang w:val="en-US" w:eastAsia="zh-CN" w:bidi="ar-SA"/>
        </w:rPr>
      </w:pPr>
    </w:p>
    <w:p w14:paraId="192C4B72">
      <w:pPr>
        <w:spacing w:line="400" w:lineRule="exact"/>
        <w:ind w:firstLine="480" w:firstLineChars="200"/>
        <w:rPr>
          <w:rFonts w:hint="default" w:ascii="Times New Roman" w:hAnsi="Times New Roman" w:eastAsia="仿宋" w:cs="Times New Roman"/>
          <w:b w:val="0"/>
          <w:bCs w:val="0"/>
          <w:color w:val="auto"/>
          <w:kern w:val="2"/>
          <w:sz w:val="24"/>
          <w:szCs w:val="24"/>
          <w:highlight w:val="none"/>
          <w:lang w:val="en-US" w:eastAsia="zh-CN" w:bidi="ar-SA"/>
        </w:rPr>
      </w:pPr>
    </w:p>
    <w:p w14:paraId="01E8A0E1">
      <w:pPr>
        <w:spacing w:line="400" w:lineRule="exact"/>
        <w:ind w:firstLine="480" w:firstLineChars="200"/>
        <w:rPr>
          <w:rFonts w:hint="default" w:ascii="Times New Roman" w:hAnsi="Times New Roman" w:eastAsia="仿宋" w:cs="Times New Roman"/>
          <w:b w:val="0"/>
          <w:bCs w:val="0"/>
          <w:color w:val="auto"/>
          <w:kern w:val="2"/>
          <w:sz w:val="24"/>
          <w:szCs w:val="24"/>
          <w:highlight w:val="none"/>
          <w:lang w:val="en-US" w:eastAsia="zh-CN" w:bidi="ar-SA"/>
        </w:rPr>
      </w:pPr>
    </w:p>
    <w:p w14:paraId="0D39489F">
      <w:pPr>
        <w:spacing w:line="400" w:lineRule="exact"/>
        <w:ind w:firstLine="480" w:firstLineChars="200"/>
        <w:rPr>
          <w:rFonts w:hint="default" w:ascii="Times New Roman" w:hAnsi="Times New Roman" w:eastAsia="仿宋" w:cs="Times New Roman"/>
          <w:b w:val="0"/>
          <w:bCs w:val="0"/>
          <w:color w:val="auto"/>
          <w:kern w:val="2"/>
          <w:sz w:val="24"/>
          <w:szCs w:val="24"/>
          <w:highlight w:val="none"/>
          <w:lang w:val="en-US" w:eastAsia="zh-CN" w:bidi="ar-SA"/>
        </w:rPr>
      </w:pPr>
    </w:p>
    <w:sectPr>
      <w:headerReference r:id="rId6" w:type="default"/>
      <w:footerReference r:id="rId7" w:type="default"/>
      <w:pgSz w:w="11907" w:h="16840"/>
      <w:pgMar w:top="1134" w:right="1191" w:bottom="1134" w:left="1304" w:header="851" w:footer="992" w:gutter="0"/>
      <w:pgNumType w:fmt="decimal"/>
      <w:cols w:space="720" w:num="1"/>
      <w:docGrid w:linePitch="380" w:charSpace="-573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B0983513-3307-4D11-87A5-FBFE73BF69C5}"/>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panose1 w:val="02000000000000000000"/>
    <w:charset w:val="86"/>
    <w:family w:val="script"/>
    <w:pitch w:val="default"/>
    <w:sig w:usb0="00000001" w:usb1="080E0000" w:usb2="00000000" w:usb3="00000000" w:csb0="00040000" w:csb1="00000000"/>
    <w:embedRegular r:id="rId2" w:fontKey="{337309C4-D12A-4B28-8FB1-07D9084503C8}"/>
  </w:font>
  <w:font w:name="方正黑体_GBK">
    <w:panose1 w:val="03000509000000000000"/>
    <w:charset w:val="86"/>
    <w:family w:val="script"/>
    <w:pitch w:val="default"/>
    <w:sig w:usb0="00000001" w:usb1="080E0000" w:usb2="00000000" w:usb3="00000000" w:csb0="00040000" w:csb1="00000000"/>
    <w:embedRegular r:id="rId3" w:fontKey="{F3A96B9F-DCCF-416F-989A-24F64334CFDF}"/>
  </w:font>
  <w:font w:name="方正小标宋_GBK">
    <w:panose1 w:val="03000509000000000000"/>
    <w:charset w:val="86"/>
    <w:family w:val="auto"/>
    <w:pitch w:val="default"/>
    <w:sig w:usb0="00000001" w:usb1="080E0000" w:usb2="00000000" w:usb3="00000000" w:csb0="00040000" w:csb1="00000000"/>
    <w:embedRegular r:id="rId4" w:fontKey="{E60A14C9-8A67-47D3-AF9E-7BC7C65A447C}"/>
  </w:font>
  <w:font w:name="仿宋">
    <w:panose1 w:val="02010609060101010101"/>
    <w:charset w:val="86"/>
    <w:family w:val="auto"/>
    <w:pitch w:val="default"/>
    <w:sig w:usb0="800002BF" w:usb1="38CF7CFA" w:usb2="00000016" w:usb3="00000000" w:csb0="00040001" w:csb1="00000000"/>
    <w:embedRegular r:id="rId5" w:fontKey="{52D03F27-C5E3-4CB8-BFD0-C66B72806C82}"/>
  </w:font>
  <w:font w:name="仿宋_GB2312">
    <w:altName w:val="仿宋"/>
    <w:panose1 w:val="02010609030001010101"/>
    <w:charset w:val="86"/>
    <w:family w:val="modern"/>
    <w:pitch w:val="default"/>
    <w:sig w:usb0="00000000" w:usb1="00000000" w:usb2="00000000" w:usb3="00000000" w:csb0="00040000" w:csb1="00000000"/>
    <w:embedRegular r:id="rId6" w:fontKey="{80BC4FA9-B278-40CE-A827-919240315C3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308D1">
    <w:pPr>
      <w:tabs>
        <w:tab w:val="center" w:pos="4153"/>
        <w:tab w:val="right" w:pos="8306"/>
      </w:tabs>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1B65F0E1">
                          <w:pPr>
                            <w:tabs>
                              <w:tab w:val="center" w:pos="4153"/>
                              <w:tab w:val="right" w:pos="8306"/>
                            </w:tabs>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1B65F0E1">
                    <w:pPr>
                      <w:tabs>
                        <w:tab w:val="center" w:pos="4153"/>
                        <w:tab w:val="right" w:pos="8306"/>
                      </w:tabs>
                    </w:pPr>
                    <w:r>
                      <w:fldChar w:fldCharType="begin"/>
                    </w:r>
                    <w:r>
                      <w:instrText xml:space="preserve"> PAGE  \* MERGEFORMAT </w:instrText>
                    </w:r>
                    <w:r>
                      <w:fldChar w:fldCharType="separate"/>
                    </w:r>
                    <w:r>
                      <w:t>1</w:t>
                    </w:r>
                    <w: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E828C">
    <w:pPr>
      <w:tabs>
        <w:tab w:val="center" w:pos="4153"/>
        <w:tab w:val="right" w:pos="8306"/>
      </w:tabs>
      <w:ind w:right="360"/>
      <w:jc w:val="center"/>
    </w:pPr>
    <w:r>
      <w:rPr>
        <w:sz w:val="2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2DFB5DB1">
                          <w:pPr>
                            <w:tabs>
                              <w:tab w:val="center" w:pos="4153"/>
                              <w:tab w:val="right" w:pos="8306"/>
                            </w:tabs>
                            <w:ind w:right="360"/>
                            <w:jc w:val="center"/>
                          </w:pPr>
                          <w:r>
                            <w:fldChar w:fldCharType="begin"/>
                          </w:r>
                          <w:r>
                            <w:instrText xml:space="preserve"> PAGE </w:instrText>
                          </w:r>
                          <w:r>
                            <w:fldChar w:fldCharType="separate"/>
                          </w:r>
                          <w:r>
                            <w:t>- 23 -</w:t>
                          </w:r>
                          <w:r>
                            <w:fldChar w:fldCharType="end"/>
                          </w:r>
                        </w:p>
                      </w:txbxContent>
                    </wps:txbx>
                    <wps:bodyPr vert="horz" wrap="none" lIns="0" tIns="0" rIns="0" bIns="0" anchor="t" upright="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FjlU1nRAQAAngMAAA4AAABkcnMvZTJvRG9jLnhtbK1TS47TQBDdI3GH&#10;Vu+JnQihYMUZIUWDkBCMNHCATrsdt9Q/VXVihwPADVixYc+5cg6q23ZmNGxmwaZd1Z9X770qb24G&#10;a9hJAWrvar5clJwpJ32j3aHmX7/cvlpzhlG4RhjvVM3PCvnN9uWLTR8qtfKdN40CRiAOqz7UvIsx&#10;VEWBslNW4MIH5eiw9WBFpBQORQOiJ3RrilVZvil6D00ALxUi7e7GQz4hwnMAfdtqqXZeHq1ycUQF&#10;ZUQkSdjpgHyb2batkvFz26KKzNSclMa8UhGK92ktthtRHUCETsuJgngOhSearNCOil6hdiIKdgT9&#10;D5TVEjz6Ni6kt8UoJDtCKpblE2/uOxFU1kJWY7iajv8PVn463QHTTc1fl2+p805Y6vnl54/Lrz+X&#10;39/ZKjnUB6zo4n24gylDCpPcoQWbviSEDdnV89VVNUQmaXO5Xq3XJRku6WxOCKd4eB4A43vlLUtB&#10;zYHalt0Up48Yx6vzlVTNuLQ6f6uNGU/TTpFojsRSFIf9MLHd++ZMKmnoCbzz8I2znlpec0cTzpn5&#10;4MjRNB1zAHOwnwPhJD2seeTsGEAfujxJiQaGd8dIVDLPVHisNvGhtmWl04iluXic51sPv9X2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BY5VNZ0QEAAJ4DAAAOAAAAAAAAAAEAIAAAAB8BAABk&#10;cnMvZTJvRG9jLnhtbFBLBQYAAAAABgAGAFkBAABiBQAAAAA=&#10;">
              <v:fill on="f" focussize="0,0"/>
              <v:stroke on="f"/>
              <v:imagedata o:title=""/>
              <o:lock v:ext="edit" aspectratio="f"/>
              <v:textbox inset="0mm,0mm,0mm,0mm" style="mso-fit-shape-to-text:t;">
                <w:txbxContent>
                  <w:p w14:paraId="2DFB5DB1">
                    <w:pPr>
                      <w:tabs>
                        <w:tab w:val="center" w:pos="4153"/>
                        <w:tab w:val="right" w:pos="8306"/>
                      </w:tabs>
                      <w:ind w:right="360"/>
                      <w:jc w:val="center"/>
                    </w:pPr>
                    <w:r>
                      <w:fldChar w:fldCharType="begin"/>
                    </w:r>
                    <w:r>
                      <w:instrText xml:space="preserve"> PAGE </w:instrText>
                    </w:r>
                    <w:r>
                      <w:fldChar w:fldCharType="separate"/>
                    </w:r>
                    <w:r>
                      <w:t>- 23 -</w:t>
                    </w:r>
                    <w: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9E306">
    <w:pPr>
      <w:tabs>
        <w:tab w:val="center" w:pos="4153"/>
        <w:tab w:val="right" w:pos="8306"/>
      </w:tabs>
      <w:jc w:val="center"/>
      <w:rPr>
        <w:rFonts w:ascii="宋体" w:hAnsi="宋体"/>
        <w:sz w:val="21"/>
        <w:szCs w:val="21"/>
      </w:rPr>
    </w:pPr>
    <w:r>
      <w:rPr>
        <w:sz w:val="21"/>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7A2FD8A7">
                          <w:pPr>
                            <w:tabs>
                              <w:tab w:val="center" w:pos="4153"/>
                              <w:tab w:val="right" w:pos="8306"/>
                            </w:tabs>
                            <w:jc w:val="center"/>
                          </w:pP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- 14 -</w:t>
                          </w:r>
                          <w:r>
                            <w:rPr>
                              <w:rFonts w:ascii="宋体" w:hAnsi="宋体"/>
                              <w:sz w:val="21"/>
                              <w:szCs w:val="21"/>
                            </w:rPr>
                            <w:fldChar w:fldCharType="end"/>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3PunTAQAAngMAAA4AAABkcnMvZTJvRG9jLnhtbK1TS27bMBDdF+gd&#10;CO5ryW5ROILlIICRokDRBkhzAJqiLAL8YYa25B6gvUFX3XTfc/kcHVKyU6SbLLKhZjjkm/ceR6vr&#10;wRp2UIDau5rPZyVnyknfaLer+cPX2zdLzjAK1wjjnar5USG/Xr9+tepDpRa+86ZRwAjEYdWHmncx&#10;hqooUHbKCpz5oBwVWw9WREphVzQgekK3pliU5fui99AE8FIh0u5mLPIJEZ4D6NtWS7Xxcm+ViyMq&#10;KCMiScJOB+TrzLZtlYxf2hZVZKbmpDTmlZpQvE1rsV6JagcidFpOFMRzKDzRZIV21PQCtRFRsD3o&#10;/6CsluDRt3EmvS1GIdkRUjEvn3hz34mgshayGsPFdHw5WPn5cAdMNzV/V15dceaEpTc//fxx+vXn&#10;9Ps7e5s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D/3PunTAQAAngMAAA4AAAAAAAAAAQAgAAAAHwEA&#10;AGRycy9lMm9Eb2MueG1sUEsFBgAAAAAGAAYAWQEAAGQFAAAAAA==&#10;">
              <v:fill on="f" focussize="0,0"/>
              <v:stroke on="f"/>
              <v:imagedata o:title=""/>
              <o:lock v:ext="edit" aspectratio="f"/>
              <v:textbox inset="0mm,0mm,0mm,0mm" style="mso-fit-shape-to-text:t;">
                <w:txbxContent>
                  <w:p w14:paraId="7A2FD8A7">
                    <w:pPr>
                      <w:tabs>
                        <w:tab w:val="center" w:pos="4153"/>
                        <w:tab w:val="right" w:pos="8306"/>
                      </w:tabs>
                      <w:jc w:val="center"/>
                    </w:pPr>
                    <w:r>
                      <w:rPr>
                        <w:rFonts w:ascii="宋体" w:hAnsi="宋体"/>
                        <w:sz w:val="21"/>
                        <w:szCs w:val="21"/>
                      </w:rPr>
                      <w:fldChar w:fldCharType="begin"/>
                    </w:r>
                    <w:r>
                      <w:rPr>
                        <w:rFonts w:ascii="宋体" w:hAnsi="宋体"/>
                        <w:sz w:val="21"/>
                        <w:szCs w:val="21"/>
                      </w:rPr>
                      <w:instrText xml:space="preserve"> PAGE </w:instrText>
                    </w:r>
                    <w:r>
                      <w:rPr>
                        <w:rFonts w:ascii="宋体" w:hAnsi="宋体"/>
                        <w:sz w:val="21"/>
                        <w:szCs w:val="21"/>
                      </w:rPr>
                      <w:fldChar w:fldCharType="separate"/>
                    </w:r>
                    <w:r>
                      <w:rPr>
                        <w:rFonts w:ascii="宋体" w:hAnsi="宋体"/>
                        <w:sz w:val="21"/>
                        <w:szCs w:val="21"/>
                      </w:rPr>
                      <w:t>- 14 -</w:t>
                    </w:r>
                    <w:r>
                      <w:rPr>
                        <w:rFonts w:ascii="宋体" w:hAnsi="宋体"/>
                        <w:sz w:val="21"/>
                        <w:szCs w:val="21"/>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458142">
    <w:pPr>
      <w:pStyle w:val="8"/>
      <w:pBdr>
        <w:bottom w:val="none" w:color="auto" w:sz="0" w:space="1"/>
      </w:pBdr>
      <w:jc w:val="both"/>
      <w:rPr>
        <w:rFonts w:hint="eastAsia" w:ascii="方正仿宋_GBK" w:eastAsia="方正仿宋_GBK"/>
        <w:sz w:val="21"/>
        <w:szCs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1AE55">
    <w:pPr>
      <w:pStyle w:val="8"/>
      <w:pBdr>
        <w:bottom w:val="none" w:color="auto" w:sz="0" w:space="0"/>
      </w:pBdr>
      <w:jc w:val="both"/>
      <w:rPr>
        <w:rFonts w:ascii="方正仿宋_GBK" w:eastAsia="方正仿宋_GBK"/>
        <w:sz w:val="21"/>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3"/>
      <w:numFmt w:val="chineseCounting"/>
      <w:suff w:val="nothing"/>
      <w:lvlText w:val="%1、"/>
      <w:lvlJc w:val="left"/>
      <w:rPr>
        <w:rFonts w:hint="eastAsia"/>
      </w:rPr>
    </w:lvl>
  </w:abstractNum>
  <w:abstractNum w:abstractNumId="1">
    <w:nsid w:val="00000001"/>
    <w:multiLevelType w:val="singleLevel"/>
    <w:tmpl w:val="00000001"/>
    <w:lvl w:ilvl="0" w:tentative="0">
      <w:start w:val="3"/>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50EAD"/>
    <w:rsid w:val="00B92181"/>
    <w:rsid w:val="00ED5986"/>
    <w:rsid w:val="00FA4BD4"/>
    <w:rsid w:val="011308BA"/>
    <w:rsid w:val="01207B0A"/>
    <w:rsid w:val="01830099"/>
    <w:rsid w:val="01C56903"/>
    <w:rsid w:val="01E67824"/>
    <w:rsid w:val="022950E4"/>
    <w:rsid w:val="02433915"/>
    <w:rsid w:val="02D84414"/>
    <w:rsid w:val="02E334E5"/>
    <w:rsid w:val="03280EF8"/>
    <w:rsid w:val="03304250"/>
    <w:rsid w:val="034B4397"/>
    <w:rsid w:val="034F2928"/>
    <w:rsid w:val="03547F3F"/>
    <w:rsid w:val="03653EFA"/>
    <w:rsid w:val="036D5585"/>
    <w:rsid w:val="03AA4003"/>
    <w:rsid w:val="03EE4305"/>
    <w:rsid w:val="04DC4690"/>
    <w:rsid w:val="05121E5F"/>
    <w:rsid w:val="051A51B8"/>
    <w:rsid w:val="051C2196"/>
    <w:rsid w:val="055D280D"/>
    <w:rsid w:val="05816FE5"/>
    <w:rsid w:val="05B57DF5"/>
    <w:rsid w:val="05C64A9C"/>
    <w:rsid w:val="05DF2FEA"/>
    <w:rsid w:val="05EB33B8"/>
    <w:rsid w:val="06416BB8"/>
    <w:rsid w:val="067803E8"/>
    <w:rsid w:val="069D7E4F"/>
    <w:rsid w:val="06A50AB1"/>
    <w:rsid w:val="070B300A"/>
    <w:rsid w:val="076512BF"/>
    <w:rsid w:val="077741FC"/>
    <w:rsid w:val="07830DF3"/>
    <w:rsid w:val="07B02A34"/>
    <w:rsid w:val="07E86EA8"/>
    <w:rsid w:val="08253C58"/>
    <w:rsid w:val="08874912"/>
    <w:rsid w:val="088970C6"/>
    <w:rsid w:val="08DA7138"/>
    <w:rsid w:val="08FF0187"/>
    <w:rsid w:val="09104908"/>
    <w:rsid w:val="094A0EDF"/>
    <w:rsid w:val="095962AF"/>
    <w:rsid w:val="095E38C5"/>
    <w:rsid w:val="09774987"/>
    <w:rsid w:val="098470A4"/>
    <w:rsid w:val="099C619C"/>
    <w:rsid w:val="09B554AF"/>
    <w:rsid w:val="09C15C02"/>
    <w:rsid w:val="09DB5D48"/>
    <w:rsid w:val="0A171CC6"/>
    <w:rsid w:val="0A20501F"/>
    <w:rsid w:val="0A5371A2"/>
    <w:rsid w:val="0A6F2477"/>
    <w:rsid w:val="0A9926DB"/>
    <w:rsid w:val="0AF142C5"/>
    <w:rsid w:val="0AF516A3"/>
    <w:rsid w:val="0B187AA4"/>
    <w:rsid w:val="0B317CD9"/>
    <w:rsid w:val="0B7A7000"/>
    <w:rsid w:val="0BEC2BDA"/>
    <w:rsid w:val="0BED0F30"/>
    <w:rsid w:val="0BED2CDE"/>
    <w:rsid w:val="0C160487"/>
    <w:rsid w:val="0C796C68"/>
    <w:rsid w:val="0C980A3C"/>
    <w:rsid w:val="0C9910B8"/>
    <w:rsid w:val="0C9E3776"/>
    <w:rsid w:val="0CA05B8A"/>
    <w:rsid w:val="0CE00A95"/>
    <w:rsid w:val="0CF167FE"/>
    <w:rsid w:val="0CF54541"/>
    <w:rsid w:val="0D02678E"/>
    <w:rsid w:val="0D4E2C3A"/>
    <w:rsid w:val="0D556D8D"/>
    <w:rsid w:val="0DC43F13"/>
    <w:rsid w:val="0E3A677D"/>
    <w:rsid w:val="0E834CA0"/>
    <w:rsid w:val="0E8B67DF"/>
    <w:rsid w:val="0EA0228A"/>
    <w:rsid w:val="0EC86D78"/>
    <w:rsid w:val="0EFA2408"/>
    <w:rsid w:val="0F1C4739"/>
    <w:rsid w:val="0F264E85"/>
    <w:rsid w:val="0F384BB8"/>
    <w:rsid w:val="0F7A6D8E"/>
    <w:rsid w:val="0F987405"/>
    <w:rsid w:val="0FA97864"/>
    <w:rsid w:val="0FD146C5"/>
    <w:rsid w:val="0FDF0BB3"/>
    <w:rsid w:val="100107CC"/>
    <w:rsid w:val="100131FC"/>
    <w:rsid w:val="104A11DC"/>
    <w:rsid w:val="10857989"/>
    <w:rsid w:val="10C9732B"/>
    <w:rsid w:val="10CC78E1"/>
    <w:rsid w:val="110334D3"/>
    <w:rsid w:val="115864E0"/>
    <w:rsid w:val="118B5BFE"/>
    <w:rsid w:val="118B78D6"/>
    <w:rsid w:val="119E038F"/>
    <w:rsid w:val="11EE5F37"/>
    <w:rsid w:val="12152F8F"/>
    <w:rsid w:val="121C256F"/>
    <w:rsid w:val="12271FB4"/>
    <w:rsid w:val="12575356"/>
    <w:rsid w:val="1260604E"/>
    <w:rsid w:val="12A83E03"/>
    <w:rsid w:val="12D76496"/>
    <w:rsid w:val="12E12E71"/>
    <w:rsid w:val="13086650"/>
    <w:rsid w:val="13873A19"/>
    <w:rsid w:val="13983E78"/>
    <w:rsid w:val="13B25F3C"/>
    <w:rsid w:val="13DD2846"/>
    <w:rsid w:val="13DF7F59"/>
    <w:rsid w:val="147F0B94"/>
    <w:rsid w:val="149B2A75"/>
    <w:rsid w:val="15003A82"/>
    <w:rsid w:val="15086DDB"/>
    <w:rsid w:val="159D7523"/>
    <w:rsid w:val="15FD6214"/>
    <w:rsid w:val="15FE0ECE"/>
    <w:rsid w:val="16364690"/>
    <w:rsid w:val="16770D10"/>
    <w:rsid w:val="16797F90"/>
    <w:rsid w:val="167A58EE"/>
    <w:rsid w:val="167D7355"/>
    <w:rsid w:val="168411C4"/>
    <w:rsid w:val="16BF34C9"/>
    <w:rsid w:val="16CD3E38"/>
    <w:rsid w:val="16D76A65"/>
    <w:rsid w:val="16E56387"/>
    <w:rsid w:val="175C6F6A"/>
    <w:rsid w:val="175D340E"/>
    <w:rsid w:val="1780534F"/>
    <w:rsid w:val="17CD0467"/>
    <w:rsid w:val="17F162BC"/>
    <w:rsid w:val="183558C0"/>
    <w:rsid w:val="185452D4"/>
    <w:rsid w:val="18554231"/>
    <w:rsid w:val="18707171"/>
    <w:rsid w:val="187F48D7"/>
    <w:rsid w:val="18890233"/>
    <w:rsid w:val="1893621A"/>
    <w:rsid w:val="189664AC"/>
    <w:rsid w:val="1913136D"/>
    <w:rsid w:val="193C7053"/>
    <w:rsid w:val="196A7A10"/>
    <w:rsid w:val="19C01A32"/>
    <w:rsid w:val="19C04430"/>
    <w:rsid w:val="19CF6119"/>
    <w:rsid w:val="19E61424"/>
    <w:rsid w:val="19EB6681"/>
    <w:rsid w:val="1A5403CD"/>
    <w:rsid w:val="1B001029"/>
    <w:rsid w:val="1B6D5BEA"/>
    <w:rsid w:val="1C0E2F29"/>
    <w:rsid w:val="1C1B3898"/>
    <w:rsid w:val="1C284B16"/>
    <w:rsid w:val="1C5D12C5"/>
    <w:rsid w:val="1C8431EB"/>
    <w:rsid w:val="1CA05B4B"/>
    <w:rsid w:val="1CAD0994"/>
    <w:rsid w:val="1D0B7468"/>
    <w:rsid w:val="1DA67191"/>
    <w:rsid w:val="1DA8386E"/>
    <w:rsid w:val="1E234C86"/>
    <w:rsid w:val="1E5310C7"/>
    <w:rsid w:val="1E854FF8"/>
    <w:rsid w:val="1F877F90"/>
    <w:rsid w:val="1FF73CD4"/>
    <w:rsid w:val="20084CEC"/>
    <w:rsid w:val="203C5B8B"/>
    <w:rsid w:val="207417C9"/>
    <w:rsid w:val="208E4638"/>
    <w:rsid w:val="20B87907"/>
    <w:rsid w:val="20C626AD"/>
    <w:rsid w:val="20DA0A66"/>
    <w:rsid w:val="21004E0A"/>
    <w:rsid w:val="211014F1"/>
    <w:rsid w:val="213172D6"/>
    <w:rsid w:val="21751354"/>
    <w:rsid w:val="217F21D3"/>
    <w:rsid w:val="217F6677"/>
    <w:rsid w:val="21DA565B"/>
    <w:rsid w:val="22286A32"/>
    <w:rsid w:val="232272BA"/>
    <w:rsid w:val="233F7E6C"/>
    <w:rsid w:val="23623B5A"/>
    <w:rsid w:val="23775858"/>
    <w:rsid w:val="23863CED"/>
    <w:rsid w:val="239C706C"/>
    <w:rsid w:val="23A37F57"/>
    <w:rsid w:val="23B97E48"/>
    <w:rsid w:val="2416755D"/>
    <w:rsid w:val="244B0A92"/>
    <w:rsid w:val="24D434BF"/>
    <w:rsid w:val="24D97E4C"/>
    <w:rsid w:val="24E567F1"/>
    <w:rsid w:val="25196D69"/>
    <w:rsid w:val="254A2AF8"/>
    <w:rsid w:val="258B383C"/>
    <w:rsid w:val="25FF7D86"/>
    <w:rsid w:val="263316E0"/>
    <w:rsid w:val="26A5448A"/>
    <w:rsid w:val="26AF5308"/>
    <w:rsid w:val="26BA00B5"/>
    <w:rsid w:val="26BE19EF"/>
    <w:rsid w:val="270B67B4"/>
    <w:rsid w:val="272B08C9"/>
    <w:rsid w:val="27550B20"/>
    <w:rsid w:val="27B92902"/>
    <w:rsid w:val="27C070A1"/>
    <w:rsid w:val="27C60B5C"/>
    <w:rsid w:val="27EC60E8"/>
    <w:rsid w:val="28060F58"/>
    <w:rsid w:val="280D678A"/>
    <w:rsid w:val="28456C82"/>
    <w:rsid w:val="286B34B1"/>
    <w:rsid w:val="28EB29C4"/>
    <w:rsid w:val="28F96D0F"/>
    <w:rsid w:val="292C49EE"/>
    <w:rsid w:val="29360622"/>
    <w:rsid w:val="294206B6"/>
    <w:rsid w:val="29671ECA"/>
    <w:rsid w:val="29695641"/>
    <w:rsid w:val="29C342B8"/>
    <w:rsid w:val="2A070FB7"/>
    <w:rsid w:val="2A4F6F0B"/>
    <w:rsid w:val="2AA131BA"/>
    <w:rsid w:val="2AAF3B29"/>
    <w:rsid w:val="2AFB6D6E"/>
    <w:rsid w:val="2B9D6077"/>
    <w:rsid w:val="2BCA4992"/>
    <w:rsid w:val="2BE27F2E"/>
    <w:rsid w:val="2C154D84"/>
    <w:rsid w:val="2C22032B"/>
    <w:rsid w:val="2C3047F6"/>
    <w:rsid w:val="2C365B84"/>
    <w:rsid w:val="2C640943"/>
    <w:rsid w:val="2C7F577D"/>
    <w:rsid w:val="2CE7356C"/>
    <w:rsid w:val="2CFE2B46"/>
    <w:rsid w:val="2CFE66A2"/>
    <w:rsid w:val="2D0143E4"/>
    <w:rsid w:val="2D1A7254"/>
    <w:rsid w:val="2D297497"/>
    <w:rsid w:val="2D2B0ED2"/>
    <w:rsid w:val="2D4542D1"/>
    <w:rsid w:val="2D483DC1"/>
    <w:rsid w:val="2D746964"/>
    <w:rsid w:val="2D7B23E8"/>
    <w:rsid w:val="2DBB4593"/>
    <w:rsid w:val="2DDB5C81"/>
    <w:rsid w:val="2E514EF7"/>
    <w:rsid w:val="2EC21951"/>
    <w:rsid w:val="2ECF6C02"/>
    <w:rsid w:val="2F0D52C2"/>
    <w:rsid w:val="2F1E74CF"/>
    <w:rsid w:val="2F1F163A"/>
    <w:rsid w:val="2F5051AF"/>
    <w:rsid w:val="2FE9188B"/>
    <w:rsid w:val="2FFE2E5D"/>
    <w:rsid w:val="30395C43"/>
    <w:rsid w:val="30517430"/>
    <w:rsid w:val="308C5F1F"/>
    <w:rsid w:val="314B3E80"/>
    <w:rsid w:val="317C672F"/>
    <w:rsid w:val="31943A79"/>
    <w:rsid w:val="31B25CAD"/>
    <w:rsid w:val="31D068E5"/>
    <w:rsid w:val="31ED3189"/>
    <w:rsid w:val="32004C6A"/>
    <w:rsid w:val="330662B0"/>
    <w:rsid w:val="333D3C9C"/>
    <w:rsid w:val="33631954"/>
    <w:rsid w:val="33CC574C"/>
    <w:rsid w:val="33CE4529"/>
    <w:rsid w:val="33E5680D"/>
    <w:rsid w:val="341113B0"/>
    <w:rsid w:val="347D07F4"/>
    <w:rsid w:val="34E6283D"/>
    <w:rsid w:val="34F14D3E"/>
    <w:rsid w:val="357A6B39"/>
    <w:rsid w:val="35856DD3"/>
    <w:rsid w:val="35B84990"/>
    <w:rsid w:val="35DE1766"/>
    <w:rsid w:val="360E2661"/>
    <w:rsid w:val="36356EAC"/>
    <w:rsid w:val="3647730B"/>
    <w:rsid w:val="36F62AE0"/>
    <w:rsid w:val="374B578D"/>
    <w:rsid w:val="37585622"/>
    <w:rsid w:val="377C4D93"/>
    <w:rsid w:val="37826121"/>
    <w:rsid w:val="379A790F"/>
    <w:rsid w:val="38351CF6"/>
    <w:rsid w:val="38361D6B"/>
    <w:rsid w:val="386A108F"/>
    <w:rsid w:val="38A9615A"/>
    <w:rsid w:val="38B36EDA"/>
    <w:rsid w:val="38D7362A"/>
    <w:rsid w:val="3905700A"/>
    <w:rsid w:val="39113C01"/>
    <w:rsid w:val="391B682D"/>
    <w:rsid w:val="39581830"/>
    <w:rsid w:val="395E235E"/>
    <w:rsid w:val="39942EF0"/>
    <w:rsid w:val="399D5494"/>
    <w:rsid w:val="39B27192"/>
    <w:rsid w:val="39E95357"/>
    <w:rsid w:val="39F850F3"/>
    <w:rsid w:val="3A234B2E"/>
    <w:rsid w:val="3A2E433E"/>
    <w:rsid w:val="3A483652"/>
    <w:rsid w:val="3A687850"/>
    <w:rsid w:val="3AC3717D"/>
    <w:rsid w:val="3AC70A1B"/>
    <w:rsid w:val="3AD60C5E"/>
    <w:rsid w:val="3AE50EA1"/>
    <w:rsid w:val="3B190B4B"/>
    <w:rsid w:val="3B2C087E"/>
    <w:rsid w:val="3B3A743F"/>
    <w:rsid w:val="3B581673"/>
    <w:rsid w:val="3B63395B"/>
    <w:rsid w:val="3BFA71F9"/>
    <w:rsid w:val="3BFE35EF"/>
    <w:rsid w:val="3C23441B"/>
    <w:rsid w:val="3C241E9D"/>
    <w:rsid w:val="3C2A7D57"/>
    <w:rsid w:val="3C7E77FF"/>
    <w:rsid w:val="3C993175"/>
    <w:rsid w:val="3CAA05F4"/>
    <w:rsid w:val="3D141097"/>
    <w:rsid w:val="3D3954D4"/>
    <w:rsid w:val="3D8B4F1E"/>
    <w:rsid w:val="3D913562"/>
    <w:rsid w:val="3DC47A8A"/>
    <w:rsid w:val="3E435E3D"/>
    <w:rsid w:val="3E8809BC"/>
    <w:rsid w:val="3EB56464"/>
    <w:rsid w:val="3F15211D"/>
    <w:rsid w:val="3F5735D4"/>
    <w:rsid w:val="3F7D3D9E"/>
    <w:rsid w:val="3FC75019"/>
    <w:rsid w:val="40363F4D"/>
    <w:rsid w:val="403D52DB"/>
    <w:rsid w:val="405C39B3"/>
    <w:rsid w:val="40C31C84"/>
    <w:rsid w:val="40C41559"/>
    <w:rsid w:val="410A1661"/>
    <w:rsid w:val="413E755D"/>
    <w:rsid w:val="41621B6F"/>
    <w:rsid w:val="418D5DEE"/>
    <w:rsid w:val="41AF1F3C"/>
    <w:rsid w:val="41B810BD"/>
    <w:rsid w:val="41C77552"/>
    <w:rsid w:val="42130460"/>
    <w:rsid w:val="422F6EA6"/>
    <w:rsid w:val="425F59DD"/>
    <w:rsid w:val="42750D5C"/>
    <w:rsid w:val="42881AA6"/>
    <w:rsid w:val="429A07C3"/>
    <w:rsid w:val="42A96C58"/>
    <w:rsid w:val="42BF022A"/>
    <w:rsid w:val="43137E00"/>
    <w:rsid w:val="433A3D54"/>
    <w:rsid w:val="433C5D1E"/>
    <w:rsid w:val="4347117C"/>
    <w:rsid w:val="43560B8E"/>
    <w:rsid w:val="43710481"/>
    <w:rsid w:val="437C611B"/>
    <w:rsid w:val="439E13BC"/>
    <w:rsid w:val="43CA7067"/>
    <w:rsid w:val="43D97A84"/>
    <w:rsid w:val="43E90552"/>
    <w:rsid w:val="43EC14F2"/>
    <w:rsid w:val="43FE2FD4"/>
    <w:rsid w:val="445A46AE"/>
    <w:rsid w:val="44631A79"/>
    <w:rsid w:val="448B2AB9"/>
    <w:rsid w:val="450703F9"/>
    <w:rsid w:val="45154A79"/>
    <w:rsid w:val="454D4212"/>
    <w:rsid w:val="455F370E"/>
    <w:rsid w:val="458A2D71"/>
    <w:rsid w:val="462D7F6B"/>
    <w:rsid w:val="463827CD"/>
    <w:rsid w:val="463D7DE3"/>
    <w:rsid w:val="465B470D"/>
    <w:rsid w:val="46770C1C"/>
    <w:rsid w:val="46EA3AC1"/>
    <w:rsid w:val="46F66072"/>
    <w:rsid w:val="4702142E"/>
    <w:rsid w:val="471F1BDF"/>
    <w:rsid w:val="475C073D"/>
    <w:rsid w:val="477B5067"/>
    <w:rsid w:val="477E4B57"/>
    <w:rsid w:val="47953C4F"/>
    <w:rsid w:val="47ED3A0E"/>
    <w:rsid w:val="47F1517F"/>
    <w:rsid w:val="48164D90"/>
    <w:rsid w:val="48980CD5"/>
    <w:rsid w:val="489A776F"/>
    <w:rsid w:val="489F4191"/>
    <w:rsid w:val="48CB5B7A"/>
    <w:rsid w:val="498521CD"/>
    <w:rsid w:val="49AB4594"/>
    <w:rsid w:val="49C0531A"/>
    <w:rsid w:val="4A6F2535"/>
    <w:rsid w:val="4A913C61"/>
    <w:rsid w:val="4A9D28FF"/>
    <w:rsid w:val="4AAE7501"/>
    <w:rsid w:val="4AAF5028"/>
    <w:rsid w:val="4AD827D0"/>
    <w:rsid w:val="4B0233A9"/>
    <w:rsid w:val="4B047121"/>
    <w:rsid w:val="4B30299E"/>
    <w:rsid w:val="4B313AF5"/>
    <w:rsid w:val="4B9506C1"/>
    <w:rsid w:val="4BC27FD3"/>
    <w:rsid w:val="4BE86A43"/>
    <w:rsid w:val="4C0D0258"/>
    <w:rsid w:val="4C0F2222"/>
    <w:rsid w:val="4C4172EC"/>
    <w:rsid w:val="4C43011D"/>
    <w:rsid w:val="4C5F3343"/>
    <w:rsid w:val="4C6C1422"/>
    <w:rsid w:val="4C9C0ED5"/>
    <w:rsid w:val="4C9E35A6"/>
    <w:rsid w:val="4CF44D53"/>
    <w:rsid w:val="4CFB27A6"/>
    <w:rsid w:val="4D094A71"/>
    <w:rsid w:val="4D113D78"/>
    <w:rsid w:val="4D16313C"/>
    <w:rsid w:val="4D3C7046"/>
    <w:rsid w:val="4D903FFE"/>
    <w:rsid w:val="4DB62528"/>
    <w:rsid w:val="4DF571F5"/>
    <w:rsid w:val="4EC3367F"/>
    <w:rsid w:val="4ECA5FB1"/>
    <w:rsid w:val="4EEC684A"/>
    <w:rsid w:val="4EEF2C61"/>
    <w:rsid w:val="4F8C5EB6"/>
    <w:rsid w:val="4F936CC6"/>
    <w:rsid w:val="4F9F67A2"/>
    <w:rsid w:val="50102776"/>
    <w:rsid w:val="50146059"/>
    <w:rsid w:val="5023004A"/>
    <w:rsid w:val="50BB64D4"/>
    <w:rsid w:val="5122044E"/>
    <w:rsid w:val="51413B07"/>
    <w:rsid w:val="51422751"/>
    <w:rsid w:val="515B3813"/>
    <w:rsid w:val="518014CC"/>
    <w:rsid w:val="51A11B6E"/>
    <w:rsid w:val="51B11685"/>
    <w:rsid w:val="51D63A22"/>
    <w:rsid w:val="51D81308"/>
    <w:rsid w:val="51E8779D"/>
    <w:rsid w:val="522462FB"/>
    <w:rsid w:val="523345EC"/>
    <w:rsid w:val="52374280"/>
    <w:rsid w:val="52397FF8"/>
    <w:rsid w:val="529E42FF"/>
    <w:rsid w:val="52AF3E17"/>
    <w:rsid w:val="52CD0741"/>
    <w:rsid w:val="52E57838"/>
    <w:rsid w:val="52F81F7A"/>
    <w:rsid w:val="535B1C8C"/>
    <w:rsid w:val="53747810"/>
    <w:rsid w:val="537D42F8"/>
    <w:rsid w:val="546E5A28"/>
    <w:rsid w:val="54BC281B"/>
    <w:rsid w:val="556E7FB9"/>
    <w:rsid w:val="55AB2B7D"/>
    <w:rsid w:val="55B026BB"/>
    <w:rsid w:val="55FC3817"/>
    <w:rsid w:val="560E354A"/>
    <w:rsid w:val="563C1E65"/>
    <w:rsid w:val="564231F4"/>
    <w:rsid w:val="565F5B54"/>
    <w:rsid w:val="56856B95"/>
    <w:rsid w:val="570D1A54"/>
    <w:rsid w:val="571F7013"/>
    <w:rsid w:val="57352977"/>
    <w:rsid w:val="57454D4A"/>
    <w:rsid w:val="574D3BFE"/>
    <w:rsid w:val="5756342B"/>
    <w:rsid w:val="578869E2"/>
    <w:rsid w:val="585D27D8"/>
    <w:rsid w:val="58DE0D33"/>
    <w:rsid w:val="58FD39DC"/>
    <w:rsid w:val="591075D9"/>
    <w:rsid w:val="59434156"/>
    <w:rsid w:val="5A112694"/>
    <w:rsid w:val="5A785436"/>
    <w:rsid w:val="5B072BC8"/>
    <w:rsid w:val="5B3A3FF2"/>
    <w:rsid w:val="5B7E4CCE"/>
    <w:rsid w:val="5BC404E7"/>
    <w:rsid w:val="5BF136F2"/>
    <w:rsid w:val="5C0304F7"/>
    <w:rsid w:val="5C58107B"/>
    <w:rsid w:val="5C5A1297"/>
    <w:rsid w:val="5C961BA3"/>
    <w:rsid w:val="5CD10E2D"/>
    <w:rsid w:val="5D7A432E"/>
    <w:rsid w:val="5D814602"/>
    <w:rsid w:val="5D8A5286"/>
    <w:rsid w:val="5DA87473"/>
    <w:rsid w:val="5DD15589"/>
    <w:rsid w:val="5E2F0501"/>
    <w:rsid w:val="5E7128C8"/>
    <w:rsid w:val="5E8048B9"/>
    <w:rsid w:val="5ED15115"/>
    <w:rsid w:val="5F0D0843"/>
    <w:rsid w:val="5F177DFA"/>
    <w:rsid w:val="5F1D035A"/>
    <w:rsid w:val="5F4E2C09"/>
    <w:rsid w:val="5F69359F"/>
    <w:rsid w:val="5F776977"/>
    <w:rsid w:val="5F7C28D6"/>
    <w:rsid w:val="5FA752D7"/>
    <w:rsid w:val="5FD40E8D"/>
    <w:rsid w:val="5FFE6E0D"/>
    <w:rsid w:val="600734E4"/>
    <w:rsid w:val="6051475F"/>
    <w:rsid w:val="6062071A"/>
    <w:rsid w:val="60786190"/>
    <w:rsid w:val="60B62814"/>
    <w:rsid w:val="611D53FD"/>
    <w:rsid w:val="613E1D98"/>
    <w:rsid w:val="617A63F5"/>
    <w:rsid w:val="619A3EE4"/>
    <w:rsid w:val="619C1A0A"/>
    <w:rsid w:val="61A46B11"/>
    <w:rsid w:val="622163B3"/>
    <w:rsid w:val="627C183B"/>
    <w:rsid w:val="627E55B4"/>
    <w:rsid w:val="6283706E"/>
    <w:rsid w:val="62EE428B"/>
    <w:rsid w:val="62F9253B"/>
    <w:rsid w:val="630C7063"/>
    <w:rsid w:val="631A1780"/>
    <w:rsid w:val="633377DB"/>
    <w:rsid w:val="63343EC4"/>
    <w:rsid w:val="63604E6B"/>
    <w:rsid w:val="63647CB4"/>
    <w:rsid w:val="63972DD1"/>
    <w:rsid w:val="63AE3C76"/>
    <w:rsid w:val="63D74F7B"/>
    <w:rsid w:val="641B5F97"/>
    <w:rsid w:val="643E324C"/>
    <w:rsid w:val="647E2EB0"/>
    <w:rsid w:val="648D5F82"/>
    <w:rsid w:val="64CC32C3"/>
    <w:rsid w:val="65110961"/>
    <w:rsid w:val="654E3963"/>
    <w:rsid w:val="661E50E3"/>
    <w:rsid w:val="663366B5"/>
    <w:rsid w:val="66723681"/>
    <w:rsid w:val="668C2375"/>
    <w:rsid w:val="6694184A"/>
    <w:rsid w:val="66990444"/>
    <w:rsid w:val="66AD6727"/>
    <w:rsid w:val="66C51A03"/>
    <w:rsid w:val="66D6776C"/>
    <w:rsid w:val="670F2FB6"/>
    <w:rsid w:val="67514E20"/>
    <w:rsid w:val="67554AA2"/>
    <w:rsid w:val="6759214B"/>
    <w:rsid w:val="677E1BB2"/>
    <w:rsid w:val="67D16185"/>
    <w:rsid w:val="67DF6AF4"/>
    <w:rsid w:val="67EB5499"/>
    <w:rsid w:val="68106CAE"/>
    <w:rsid w:val="681A5D7E"/>
    <w:rsid w:val="6873723D"/>
    <w:rsid w:val="68FE2FAA"/>
    <w:rsid w:val="690F6F65"/>
    <w:rsid w:val="693E3CEF"/>
    <w:rsid w:val="697B35DE"/>
    <w:rsid w:val="698C764A"/>
    <w:rsid w:val="699F478D"/>
    <w:rsid w:val="69D54394"/>
    <w:rsid w:val="69E76134"/>
    <w:rsid w:val="69E94057"/>
    <w:rsid w:val="69F745C9"/>
    <w:rsid w:val="6A2151A2"/>
    <w:rsid w:val="6A2627B9"/>
    <w:rsid w:val="6A505A87"/>
    <w:rsid w:val="6A941E18"/>
    <w:rsid w:val="6AA87672"/>
    <w:rsid w:val="6B102C5F"/>
    <w:rsid w:val="6B4A24D7"/>
    <w:rsid w:val="6B553AE7"/>
    <w:rsid w:val="6B596BBE"/>
    <w:rsid w:val="6B6F4633"/>
    <w:rsid w:val="6BAE1D25"/>
    <w:rsid w:val="6BC905D3"/>
    <w:rsid w:val="6BFC4687"/>
    <w:rsid w:val="6C0A7EB8"/>
    <w:rsid w:val="6C272818"/>
    <w:rsid w:val="6C9205D9"/>
    <w:rsid w:val="6D140FEE"/>
    <w:rsid w:val="6D203E37"/>
    <w:rsid w:val="6D2154B9"/>
    <w:rsid w:val="6D390A55"/>
    <w:rsid w:val="6D3969CB"/>
    <w:rsid w:val="6DE54528"/>
    <w:rsid w:val="6E267F67"/>
    <w:rsid w:val="6E52752E"/>
    <w:rsid w:val="6E8C1058"/>
    <w:rsid w:val="6EA77C40"/>
    <w:rsid w:val="6EDB7B1D"/>
    <w:rsid w:val="6EFF7A7C"/>
    <w:rsid w:val="6F0A08FB"/>
    <w:rsid w:val="6F433E0D"/>
    <w:rsid w:val="6F526BC2"/>
    <w:rsid w:val="6F912DCA"/>
    <w:rsid w:val="700A66D9"/>
    <w:rsid w:val="706E6C67"/>
    <w:rsid w:val="70877D29"/>
    <w:rsid w:val="70BD199D"/>
    <w:rsid w:val="70DC62C7"/>
    <w:rsid w:val="70E62CA2"/>
    <w:rsid w:val="711B76F1"/>
    <w:rsid w:val="711D5487"/>
    <w:rsid w:val="713C6D66"/>
    <w:rsid w:val="71D47469"/>
    <w:rsid w:val="7205184D"/>
    <w:rsid w:val="720A29C0"/>
    <w:rsid w:val="72120104"/>
    <w:rsid w:val="72247F25"/>
    <w:rsid w:val="725956F5"/>
    <w:rsid w:val="725F0F5E"/>
    <w:rsid w:val="729D1A86"/>
    <w:rsid w:val="72E215DC"/>
    <w:rsid w:val="72E41463"/>
    <w:rsid w:val="72EB302C"/>
    <w:rsid w:val="731C6E4F"/>
    <w:rsid w:val="731D3FEC"/>
    <w:rsid w:val="732B0E40"/>
    <w:rsid w:val="7379604F"/>
    <w:rsid w:val="73B40E35"/>
    <w:rsid w:val="73B86270"/>
    <w:rsid w:val="73C03C7E"/>
    <w:rsid w:val="73C977ED"/>
    <w:rsid w:val="73E6120B"/>
    <w:rsid w:val="73F41B79"/>
    <w:rsid w:val="74220495"/>
    <w:rsid w:val="7440091B"/>
    <w:rsid w:val="74716D26"/>
    <w:rsid w:val="74A469CD"/>
    <w:rsid w:val="74A72748"/>
    <w:rsid w:val="74D774D1"/>
    <w:rsid w:val="74D7755F"/>
    <w:rsid w:val="74DA0D6F"/>
    <w:rsid w:val="74FE35BE"/>
    <w:rsid w:val="7521699E"/>
    <w:rsid w:val="75355FA6"/>
    <w:rsid w:val="7572311C"/>
    <w:rsid w:val="75952EE8"/>
    <w:rsid w:val="75C17839"/>
    <w:rsid w:val="75DE663D"/>
    <w:rsid w:val="75F145C2"/>
    <w:rsid w:val="762A53DF"/>
    <w:rsid w:val="76360227"/>
    <w:rsid w:val="76A35191"/>
    <w:rsid w:val="76AF7FDA"/>
    <w:rsid w:val="76E22FF7"/>
    <w:rsid w:val="76EF2060"/>
    <w:rsid w:val="771B11CB"/>
    <w:rsid w:val="77B21B30"/>
    <w:rsid w:val="77ED6DAA"/>
    <w:rsid w:val="77F04406"/>
    <w:rsid w:val="78165D76"/>
    <w:rsid w:val="781A1483"/>
    <w:rsid w:val="78361C89"/>
    <w:rsid w:val="78810ADD"/>
    <w:rsid w:val="78931341"/>
    <w:rsid w:val="78AD0549"/>
    <w:rsid w:val="78E90AFB"/>
    <w:rsid w:val="78F732D8"/>
    <w:rsid w:val="79191EC3"/>
    <w:rsid w:val="792702FB"/>
    <w:rsid w:val="79294073"/>
    <w:rsid w:val="796C21B2"/>
    <w:rsid w:val="79786DA9"/>
    <w:rsid w:val="797A667D"/>
    <w:rsid w:val="7984574E"/>
    <w:rsid w:val="79A149AA"/>
    <w:rsid w:val="79A96F62"/>
    <w:rsid w:val="79B7342D"/>
    <w:rsid w:val="7AB83901"/>
    <w:rsid w:val="7B9A0569"/>
    <w:rsid w:val="7BBA7205"/>
    <w:rsid w:val="7C52568F"/>
    <w:rsid w:val="7C570EF7"/>
    <w:rsid w:val="7C776EA4"/>
    <w:rsid w:val="7C7E46D6"/>
    <w:rsid w:val="7C9E08D4"/>
    <w:rsid w:val="7CAD2A9A"/>
    <w:rsid w:val="7CBE516E"/>
    <w:rsid w:val="7CC0084B"/>
    <w:rsid w:val="7CD05E66"/>
    <w:rsid w:val="7CF04147"/>
    <w:rsid w:val="7CF6426C"/>
    <w:rsid w:val="7D05228F"/>
    <w:rsid w:val="7D0A7D18"/>
    <w:rsid w:val="7D1B3CD3"/>
    <w:rsid w:val="7D25327D"/>
    <w:rsid w:val="7D3B00B0"/>
    <w:rsid w:val="7D417D69"/>
    <w:rsid w:val="7D470F6C"/>
    <w:rsid w:val="7D4A2A43"/>
    <w:rsid w:val="7D5F62B6"/>
    <w:rsid w:val="7D847ACA"/>
    <w:rsid w:val="7D8A2C07"/>
    <w:rsid w:val="7DC12ACC"/>
    <w:rsid w:val="7DF2712A"/>
    <w:rsid w:val="7E6416AA"/>
    <w:rsid w:val="7E6C2038"/>
    <w:rsid w:val="7E6F78A3"/>
    <w:rsid w:val="7EA83C8C"/>
    <w:rsid w:val="7EC94C4B"/>
    <w:rsid w:val="7ECB1729"/>
    <w:rsid w:val="7F05482D"/>
    <w:rsid w:val="7F0C5FC9"/>
    <w:rsid w:val="7F25708B"/>
    <w:rsid w:val="7F361298"/>
    <w:rsid w:val="7F8C0EB8"/>
    <w:rsid w:val="7FD00F36"/>
    <w:rsid w:val="7FEB5F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nhideWhenUsed="0" w:uiPriority="0" w:semiHidden="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3">
    <w:name w:val="heading 1"/>
    <w:basedOn w:val="1"/>
    <w:next w:val="1"/>
    <w:qFormat/>
    <w:uiPriority w:val="0"/>
    <w:pPr>
      <w:keepNext/>
      <w:tabs>
        <w:tab w:val="left" w:pos="3360"/>
      </w:tabs>
      <w:snapToGrid w:val="0"/>
      <w:spacing w:before="312" w:beforeLines="100" w:beforeAutospacing="0" w:after="156" w:afterLines="50" w:afterAutospacing="0" w:line="800" w:lineRule="atLeast"/>
      <w:jc w:val="center"/>
      <w:outlineLvl w:val="0"/>
    </w:pPr>
    <w:rPr>
      <w:rFonts w:eastAsia="黑体"/>
      <w:kern w:val="0"/>
      <w:sz w:val="44"/>
    </w:rPr>
  </w:style>
  <w:style w:type="paragraph" w:styleId="4">
    <w:name w:val="heading 2"/>
    <w:basedOn w:val="1"/>
    <w:next w:val="1"/>
    <w:link w:val="21"/>
    <w:qFormat/>
    <w:uiPriority w:val="0"/>
    <w:pPr>
      <w:keepNext/>
      <w:keepLines/>
      <w:spacing w:before="260" w:after="260" w:line="413" w:lineRule="auto"/>
      <w:outlineLvl w:val="1"/>
    </w:pPr>
    <w:rPr>
      <w:rFonts w:ascii="Arial" w:hAnsi="Arial" w:eastAsia="黑体"/>
      <w:b/>
      <w:sz w:val="32"/>
    </w:rPr>
  </w:style>
  <w:style w:type="paragraph" w:styleId="5">
    <w:name w:val="heading 3"/>
    <w:basedOn w:val="1"/>
    <w:next w:val="1"/>
    <w:link w:val="17"/>
    <w:qFormat/>
    <w:uiPriority w:val="99"/>
    <w:pPr>
      <w:keepNext/>
      <w:keepLines/>
      <w:spacing w:before="260" w:after="260" w:line="415" w:lineRule="auto"/>
      <w:outlineLvl w:val="2"/>
    </w:pPr>
    <w:rPr>
      <w:b/>
      <w:bCs/>
      <w:sz w:val="32"/>
      <w:szCs w:val="32"/>
    </w:rPr>
  </w:style>
  <w:style w:type="paragraph" w:styleId="6">
    <w:name w:val="heading 7"/>
    <w:basedOn w:val="1"/>
    <w:next w:val="1"/>
    <w:link w:val="18"/>
    <w:qFormat/>
    <w:uiPriority w:val="0"/>
    <w:pPr>
      <w:keepNext/>
      <w:keepLines/>
      <w:spacing w:before="240" w:after="64" w:line="320" w:lineRule="auto"/>
      <w:outlineLvl w:val="6"/>
    </w:pPr>
    <w:rPr>
      <w:b/>
      <w:bCs/>
      <w:sz w:val="24"/>
      <w:szCs w:val="24"/>
    </w:rPr>
  </w:style>
  <w:style w:type="character" w:default="1" w:styleId="12">
    <w:name w:val="Default Paragraph Font"/>
    <w:qFormat/>
    <w:uiPriority w:val="1"/>
  </w:style>
  <w:style w:type="table" w:default="1" w:styleId="10">
    <w:name w:val="Normal Table"/>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rPr>
      <w:szCs w:val="24"/>
    </w:rPr>
  </w:style>
  <w:style w:type="paragraph" w:styleId="7">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8">
    <w:name w:val="header"/>
    <w:basedOn w:val="1"/>
    <w:link w:val="19"/>
    <w:qFormat/>
    <w:uiPriority w:val="0"/>
    <w:pPr>
      <w:pBdr>
        <w:bottom w:val="single" w:color="auto" w:sz="6" w:space="1"/>
      </w:pBdr>
      <w:tabs>
        <w:tab w:val="center" w:pos="4153"/>
        <w:tab w:val="right" w:pos="8306"/>
      </w:tabs>
      <w:snapToGrid w:val="0"/>
      <w:jc w:val="center"/>
    </w:pPr>
    <w:rPr>
      <w:sz w:val="18"/>
    </w:rPr>
  </w:style>
  <w:style w:type="paragraph" w:styleId="9">
    <w:name w:val="Title"/>
    <w:basedOn w:val="1"/>
    <w:next w:val="1"/>
    <w:qFormat/>
    <w:uiPriority w:val="0"/>
    <w:pPr>
      <w:spacing w:before="240" w:after="60"/>
      <w:jc w:val="center"/>
      <w:outlineLvl w:val="0"/>
    </w:pPr>
    <w:rPr>
      <w:rFonts w:ascii="Arial" w:hAnsi="Arial" w:eastAsia="宋体" w:cs="Arial"/>
      <w:b/>
      <w:bCs/>
      <w:sz w:val="32"/>
      <w:szCs w:val="32"/>
      <w:lang w:bidi="ar-SA"/>
    </w:rPr>
  </w:style>
  <w:style w:type="table" w:styleId="11">
    <w:name w:val="Table Grid"/>
    <w:basedOn w:val="10"/>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qFormat/>
    <w:uiPriority w:val="99"/>
    <w:rPr>
      <w:color w:val="0000FF"/>
      <w:u w:val="single"/>
    </w:rPr>
  </w:style>
  <w:style w:type="paragraph" w:customStyle="1" w:styleId="14">
    <w:name w:val="采购文件正文"/>
    <w:basedOn w:val="1"/>
    <w:qFormat/>
    <w:uiPriority w:val="0"/>
    <w:pPr>
      <w:snapToGrid w:val="0"/>
      <w:spacing w:line="480" w:lineRule="exact"/>
      <w:ind w:firstLine="480" w:firstLineChars="200"/>
    </w:pPr>
    <w:rPr>
      <w:rFonts w:hint="eastAsia" w:ascii="方正仿宋_GBK" w:hAnsi="方正仿宋_GBK" w:eastAsia="方正仿宋_GBK" w:cs="方正仿宋_GBK"/>
      <w:sz w:val="24"/>
      <w:szCs w:val="24"/>
    </w:rPr>
  </w:style>
  <w:style w:type="paragraph" w:customStyle="1" w:styleId="15">
    <w:name w:val="采购文件标题"/>
    <w:basedOn w:val="1"/>
    <w:next w:val="1"/>
    <w:link w:val="23"/>
    <w:qFormat/>
    <w:uiPriority w:val="0"/>
    <w:pPr>
      <w:keepNext/>
      <w:keepLines/>
      <w:adjustRightInd w:val="0"/>
      <w:snapToGrid w:val="0"/>
      <w:spacing w:line="480" w:lineRule="exact"/>
      <w:ind w:firstLine="482" w:firstLineChars="200"/>
      <w:outlineLvl w:val="2"/>
    </w:pPr>
    <w:rPr>
      <w:rFonts w:hint="eastAsia" w:ascii="方正黑体_GBK" w:hAnsi="方正黑体_GBK" w:eastAsia="方正黑体_GBK" w:cs="方正黑体_GBK"/>
      <w:sz w:val="24"/>
      <w:szCs w:val="24"/>
    </w:rPr>
  </w:style>
  <w:style w:type="paragraph" w:customStyle="1" w:styleId="16">
    <w:name w:val="采购文件篇幅"/>
    <w:basedOn w:val="1"/>
    <w:link w:val="22"/>
    <w:qFormat/>
    <w:uiPriority w:val="0"/>
    <w:pPr>
      <w:tabs>
        <w:tab w:val="right" w:leader="dot" w:pos="9402"/>
      </w:tabs>
      <w:spacing w:line="480" w:lineRule="exact"/>
      <w:jc w:val="center"/>
    </w:pPr>
    <w:rPr>
      <w:rFonts w:hint="eastAsia" w:ascii="方正小标宋_GBK" w:hAnsi="方正小标宋_GBK" w:eastAsia="方正小标宋_GBK" w:cs="方正小标宋_GBK"/>
      <w:sz w:val="36"/>
      <w:szCs w:val="36"/>
    </w:rPr>
  </w:style>
  <w:style w:type="character" w:customStyle="1" w:styleId="17">
    <w:name w:val="标题 3 字符"/>
    <w:basedOn w:val="12"/>
    <w:link w:val="5"/>
    <w:qFormat/>
    <w:uiPriority w:val="0"/>
    <w:rPr>
      <w:b/>
      <w:kern w:val="2"/>
      <w:sz w:val="32"/>
    </w:rPr>
  </w:style>
  <w:style w:type="character" w:customStyle="1" w:styleId="18">
    <w:name w:val="标题 7 字符"/>
    <w:basedOn w:val="12"/>
    <w:link w:val="6"/>
    <w:qFormat/>
    <w:uiPriority w:val="0"/>
    <w:rPr>
      <w:rFonts w:ascii="Times New Roman" w:hAnsi="Times New Roman" w:cs="Times New Roman"/>
      <w:b/>
      <w:bCs/>
      <w:kern w:val="2"/>
      <w:sz w:val="24"/>
      <w:szCs w:val="24"/>
    </w:rPr>
  </w:style>
  <w:style w:type="character" w:customStyle="1" w:styleId="19">
    <w:name w:val="页眉 字符"/>
    <w:link w:val="8"/>
    <w:qFormat/>
    <w:uiPriority w:val="0"/>
    <w:rPr>
      <w:rFonts w:ascii="Times New Roman" w:hAnsi="Times New Roman" w:cs="Times New Roman"/>
      <w:kern w:val="2"/>
      <w:sz w:val="18"/>
    </w:rPr>
  </w:style>
  <w:style w:type="character" w:customStyle="1" w:styleId="20">
    <w:name w:val="标题 2 字符1"/>
    <w:basedOn w:val="12"/>
    <w:link w:val="4"/>
    <w:qFormat/>
    <w:uiPriority w:val="0"/>
    <w:rPr>
      <w:rFonts w:hint="default" w:ascii="Arial" w:hAnsi="Arial" w:eastAsia="黑体" w:cs="Arial"/>
      <w:b/>
      <w:kern w:val="2"/>
      <w:sz w:val="32"/>
    </w:rPr>
  </w:style>
  <w:style w:type="character" w:customStyle="1" w:styleId="21">
    <w:name w:val="标题 2 Char"/>
    <w:link w:val="4"/>
    <w:qFormat/>
    <w:uiPriority w:val="0"/>
    <w:rPr>
      <w:rFonts w:ascii="宋体" w:hAnsi="宋体"/>
      <w:kern w:val="2"/>
      <w:sz w:val="28"/>
    </w:rPr>
  </w:style>
  <w:style w:type="character" w:customStyle="1" w:styleId="22">
    <w:name w:val="采购文件篇幅 Char"/>
    <w:link w:val="16"/>
    <w:qFormat/>
    <w:uiPriority w:val="0"/>
    <w:rPr>
      <w:rFonts w:hint="eastAsia" w:ascii="方正小标宋_GBK" w:hAnsi="方正小标宋_GBK" w:eastAsia="方正小标宋_GBK" w:cs="方正小标宋_GBK"/>
      <w:sz w:val="36"/>
      <w:szCs w:val="36"/>
    </w:rPr>
  </w:style>
  <w:style w:type="character" w:customStyle="1" w:styleId="23">
    <w:name w:val="采购文件标题 Char"/>
    <w:link w:val="15"/>
    <w:qFormat/>
    <w:uiPriority w:val="0"/>
    <w:rPr>
      <w:rFonts w:hint="eastAsia" w:ascii="方正黑体_GBK" w:hAnsi="方正黑体_GBK" w:eastAsia="方正黑体_GBK" w:cs="方正黑体_GBK"/>
      <w:sz w:val="24"/>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31</Pages>
  <Words>8856</Words>
  <Characters>9107</Characters>
  <Paragraphs>751</Paragraphs>
  <TotalTime>18</TotalTime>
  <ScaleCrop>false</ScaleCrop>
  <LinksUpToDate>false</LinksUpToDate>
  <CharactersWithSpaces>9134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2025-11-04T02:55:00Z</dcterms:created>
  <dc:creator>莉~</dc:creator>
  <cp:lastModifiedBy>琴女子</cp:lastModifiedBy>
  <cp:lastPrinted>2024-10-28T05:19:00Z</cp:lastPrinted>
  <dcterms:modified xsi:type="dcterms:W3CDTF">2026-08-13T03:32:56Z</dcterms:modified>
  <dc:title>重庆市政府采购云平台网上竞采文件</dc:title>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C38577B1906543958FE6886F47199341_13</vt:lpwstr>
  </property>
  <property fmtid="{D5CDD505-2E9C-101B-9397-08002B2CF9AE}" pid="4" name="KSOTemplateDocerSaveRecord">
    <vt:lpwstr>eyJoZGlkIjoiN2EyMTMxMjFiMWEwNTNhNjM5ZjQyODhkODNmMmU0YmUiLCJ1c2VySWQiOiIzMTU3NDQwNDgifQ==</vt:lpwstr>
  </property>
</Properties>
</file>